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F6C07" w14:textId="25EF7D14" w:rsidR="00372B8F" w:rsidRDefault="00372B8F"/>
    <w:p w14:paraId="32D406C9" w14:textId="338E8C69" w:rsidR="002027E7" w:rsidRDefault="002027E7">
      <w:pPr>
        <w:rPr>
          <w:lang w:val="en-US"/>
        </w:rPr>
      </w:pPr>
    </w:p>
    <w:p w14:paraId="7EAD5BBA" w14:textId="3FCB292C" w:rsidR="00742FA8" w:rsidRDefault="00742FA8">
      <w:pPr>
        <w:rPr>
          <w:lang w:val="en-US"/>
        </w:rPr>
      </w:pPr>
    </w:p>
    <w:tbl>
      <w:tblPr>
        <w:tblStyle w:val="TableGrid"/>
        <w:tblW w:w="10007" w:type="dxa"/>
        <w:jc w:val="center"/>
        <w:tblLook w:val="04A0" w:firstRow="1" w:lastRow="0" w:firstColumn="1" w:lastColumn="0" w:noHBand="0" w:noVBand="1"/>
      </w:tblPr>
      <w:tblGrid>
        <w:gridCol w:w="3335"/>
        <w:gridCol w:w="3335"/>
        <w:gridCol w:w="3337"/>
      </w:tblGrid>
      <w:tr w:rsidR="00742FA8" w:rsidRPr="002473B6" w14:paraId="131B86C3" w14:textId="77777777" w:rsidTr="004A005D">
        <w:trPr>
          <w:trHeight w:val="652"/>
          <w:jc w:val="center"/>
        </w:trPr>
        <w:tc>
          <w:tcPr>
            <w:tcW w:w="3335" w:type="dxa"/>
            <w:tcBorders>
              <w:right w:val="single" w:sz="4" w:space="0" w:color="44546A" w:themeColor="text2"/>
            </w:tcBorders>
            <w:shd w:val="clear" w:color="auto" w:fill="1F3864" w:themeFill="accent1" w:themeFillShade="80"/>
          </w:tcPr>
          <w:p w14:paraId="46AF1926" w14:textId="77777777" w:rsidR="002473B6" w:rsidRDefault="002473B6" w:rsidP="002473B6">
            <w:pPr>
              <w:jc w:val="center"/>
              <w:rPr>
                <w:rFonts w:cs="Arial"/>
                <w:color w:val="FFFFFF" w:themeColor="background1"/>
                <w:sz w:val="32"/>
                <w:szCs w:val="32"/>
                <w:shd w:val="clear" w:color="auto" w:fill="1F3864" w:themeFill="accent1" w:themeFillShade="80"/>
                <w:lang w:val="en-US"/>
              </w:rPr>
            </w:pPr>
          </w:p>
          <w:p w14:paraId="1E28C378" w14:textId="77777777" w:rsidR="002473B6" w:rsidRDefault="002473B6" w:rsidP="002473B6">
            <w:pPr>
              <w:jc w:val="center"/>
              <w:rPr>
                <w:rFonts w:cs="Arial"/>
                <w:color w:val="FFFFFF" w:themeColor="background1"/>
                <w:sz w:val="32"/>
                <w:szCs w:val="32"/>
                <w:shd w:val="clear" w:color="auto" w:fill="1F3864" w:themeFill="accent1" w:themeFillShade="80"/>
                <w:lang w:val="en-US"/>
              </w:rPr>
            </w:pPr>
          </w:p>
          <w:p w14:paraId="6E19AB68" w14:textId="13936903" w:rsidR="002473B6" w:rsidRPr="00906B87" w:rsidRDefault="002473B6" w:rsidP="002473B6">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sidR="003E195A">
              <w:rPr>
                <w:rFonts w:cs="Arial"/>
                <w:color w:val="FFFFFF" w:themeColor="background1"/>
                <w:sz w:val="32"/>
                <w:szCs w:val="32"/>
                <w:shd w:val="clear" w:color="auto" w:fill="1F3864" w:themeFill="accent1" w:themeFillShade="80"/>
                <w:lang w:val="en-US"/>
              </w:rPr>
              <w:t>contribution</w:t>
            </w:r>
          </w:p>
          <w:p w14:paraId="53B8847D" w14:textId="3DEF75B8"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661FD418" w14:textId="77777777" w:rsidR="002473B6" w:rsidRDefault="002473B6" w:rsidP="002473B6">
            <w:pPr>
              <w:jc w:val="center"/>
              <w:rPr>
                <w:rFonts w:cs="Arial"/>
                <w:color w:val="FFFFFF" w:themeColor="background1"/>
                <w:sz w:val="32"/>
                <w:szCs w:val="32"/>
                <w:shd w:val="clear" w:color="auto" w:fill="1F3864" w:themeFill="accent1" w:themeFillShade="80"/>
                <w:lang w:val="en-US"/>
              </w:rPr>
            </w:pPr>
          </w:p>
          <w:p w14:paraId="6B26AC0C" w14:textId="739050C6" w:rsidR="00742FA8" w:rsidRDefault="002473B6" w:rsidP="002473B6">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925E2D">
              <w:rPr>
                <w:rFonts w:cs="Arial"/>
                <w:color w:val="FFFFFF" w:themeColor="background1"/>
                <w:sz w:val="32"/>
                <w:szCs w:val="32"/>
                <w:shd w:val="clear" w:color="auto" w:fill="1F3864" w:themeFill="accent1" w:themeFillShade="80"/>
                <w:lang w:val="en-US"/>
              </w:rPr>
              <w:t>4</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7E67B4" w14:paraId="425D15D4" w14:textId="77777777" w:rsidTr="004A005D">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2473B6" w:rsidRDefault="005728A3" w:rsidP="005728A3">
            <w:pPr>
              <w:jc w:val="right"/>
              <w:rPr>
                <w:rFonts w:cstheme="minorHAnsi"/>
                <w:b/>
                <w:bCs/>
                <w:color w:val="002060"/>
                <w:sz w:val="28"/>
                <w:szCs w:val="28"/>
                <w:lang w:val="en-US"/>
              </w:rPr>
            </w:pPr>
            <w:r w:rsidRPr="002473B6">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4A005D">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480F0286" w:rsidR="006D3771" w:rsidRPr="006D3771" w:rsidRDefault="009D5FD8" w:rsidP="006D3771">
            <w:pPr>
              <w:jc w:val="center"/>
              <w:rPr>
                <w:sz w:val="32"/>
                <w:szCs w:val="32"/>
                <w:lang w:val="en-US"/>
              </w:rPr>
            </w:pPr>
            <w:r>
              <w:rPr>
                <w:sz w:val="32"/>
                <w:szCs w:val="32"/>
                <w:lang w:val="en-US"/>
              </w:rPr>
              <w:t>F</w:t>
            </w:r>
            <w:r w:rsidR="00152FC1">
              <w:rPr>
                <w:sz w:val="32"/>
                <w:szCs w:val="32"/>
                <w:lang w:val="en-US"/>
              </w:rPr>
              <w:t>rance</w:t>
            </w:r>
          </w:p>
          <w:p w14:paraId="1EE0812F" w14:textId="73DF6167" w:rsidR="006D3771" w:rsidRDefault="006D3771">
            <w:pPr>
              <w:rPr>
                <w:lang w:val="en-US"/>
              </w:rPr>
            </w:pPr>
          </w:p>
        </w:tc>
      </w:tr>
    </w:tbl>
    <w:p w14:paraId="5B454BA7" w14:textId="445EA5A4" w:rsidR="001D0AE0" w:rsidRDefault="001D0AE0" w:rsidP="00857FF1">
      <w:pPr>
        <w:pStyle w:val="Default"/>
        <w:rPr>
          <w:color w:val="auto"/>
          <w:sz w:val="22"/>
          <w:szCs w:val="22"/>
          <w:lang w:val="en-US"/>
        </w:rPr>
      </w:pPr>
    </w:p>
    <w:p w14:paraId="5BC2DC82" w14:textId="7135F9D1" w:rsidR="004A628B" w:rsidRDefault="004A628B" w:rsidP="004A628B">
      <w:pPr>
        <w:pStyle w:val="Heading1"/>
        <w:rPr>
          <w:lang w:val="en-US"/>
        </w:rPr>
      </w:pPr>
      <w:bookmarkStart w:id="0" w:name="_Toc36635809"/>
      <w:r>
        <w:rPr>
          <w:lang w:val="en-US"/>
        </w:rPr>
        <w:t xml:space="preserve">I </w:t>
      </w:r>
      <w:r w:rsidRPr="00546B57">
        <w:rPr>
          <w:lang w:val="en-US"/>
        </w:rPr>
        <w:t>Justice System</w:t>
      </w:r>
      <w:bookmarkEnd w:id="0"/>
      <w:r w:rsidRPr="00546B57">
        <w:rPr>
          <w:lang w:val="en-US"/>
        </w:rPr>
        <w:t xml:space="preserve"> </w:t>
      </w:r>
    </w:p>
    <w:p w14:paraId="5D9260C2" w14:textId="003D9F25" w:rsidR="004A628B" w:rsidRDefault="004A628B" w:rsidP="004A628B">
      <w:pPr>
        <w:pStyle w:val="Default"/>
        <w:ind w:left="1080"/>
        <w:rPr>
          <w:color w:val="auto"/>
          <w:sz w:val="22"/>
          <w:szCs w:val="22"/>
          <w:lang w:val="en-US"/>
        </w:rPr>
      </w:pPr>
    </w:p>
    <w:p w14:paraId="4F141223" w14:textId="77777777" w:rsidR="002D34E3" w:rsidRPr="002D34E3" w:rsidRDefault="002D34E3" w:rsidP="002D34E3">
      <w:pPr>
        <w:pStyle w:val="Default"/>
        <w:jc w:val="both"/>
        <w:rPr>
          <w:rFonts w:asciiTheme="minorHAnsi" w:hAnsiTheme="minorHAnsi" w:cstheme="minorHAnsi"/>
          <w:color w:val="auto"/>
          <w:sz w:val="20"/>
          <w:szCs w:val="20"/>
          <w:lang w:val="en-US"/>
        </w:rPr>
      </w:pPr>
      <w:r w:rsidRPr="002D34E3">
        <w:rPr>
          <w:rFonts w:asciiTheme="minorHAnsi" w:hAnsiTheme="minorHAnsi" w:cstheme="minorHAnsi"/>
          <w:color w:val="auto"/>
          <w:sz w:val="20"/>
          <w:szCs w:val="20"/>
          <w:lang w:val="en-US"/>
        </w:rPr>
        <w:t xml:space="preserve">The European Commission for the Efficiency of Justice (CEPEJ) regularly collects data on judicial systems. These data concern in particular the “quality of justice” (B part below), “efficiency of justice systems” (C part below) and also some aspects of “independence” (A part below). </w:t>
      </w:r>
    </w:p>
    <w:p w14:paraId="5008AB2C" w14:textId="77777777" w:rsidR="002D34E3" w:rsidRPr="002D34E3" w:rsidRDefault="002D34E3" w:rsidP="002D34E3">
      <w:pPr>
        <w:shd w:val="clear" w:color="auto" w:fill="FFFFFF"/>
        <w:spacing w:before="100" w:beforeAutospacing="1" w:after="100" w:afterAutospacing="1"/>
        <w:rPr>
          <w:rFonts w:cstheme="minorHAnsi"/>
          <w:color w:val="161616"/>
          <w:lang w:val="en-US"/>
        </w:rPr>
      </w:pPr>
      <w:r w:rsidRPr="002D34E3">
        <w:rPr>
          <w:rFonts w:cstheme="minorHAnsi"/>
          <w:lang w:val="en-US"/>
        </w:rPr>
        <w:t xml:space="preserve">The 2023 data have not been collected and quality checked in 2023. Nevertheless, CEPEJ published in 2023 country profiles for each EU country, based on 2021 data, and prepared in the framework of CEPEJ Study for the 2023 EU Justice Scoreboard </w:t>
      </w:r>
      <w:hyperlink r:id="rId9" w:history="1">
        <w:r w:rsidRPr="002D34E3">
          <w:rPr>
            <w:rStyle w:val="Hyperlink"/>
            <w:rFonts w:cstheme="minorHAnsi"/>
            <w:color w:val="007BC8"/>
            <w:lang w:val="en-US"/>
          </w:rPr>
          <w:t>CEPEJ Country fiche - Scoreboard - France</w:t>
        </w:r>
      </w:hyperlink>
    </w:p>
    <w:p w14:paraId="779B8462" w14:textId="77777777" w:rsidR="002D34E3" w:rsidRPr="002D34E3" w:rsidRDefault="002D34E3" w:rsidP="002D34E3">
      <w:pPr>
        <w:pStyle w:val="Default"/>
        <w:jc w:val="both"/>
        <w:rPr>
          <w:rFonts w:asciiTheme="minorHAnsi" w:hAnsiTheme="minorHAnsi" w:cstheme="minorHAnsi"/>
          <w:color w:val="auto"/>
          <w:sz w:val="20"/>
          <w:szCs w:val="20"/>
          <w:lang w:val="en-US"/>
        </w:rPr>
      </w:pPr>
      <w:r w:rsidRPr="002D34E3">
        <w:rPr>
          <w:rFonts w:asciiTheme="minorHAnsi" w:hAnsiTheme="minorHAnsi" w:cstheme="minorHAnsi"/>
          <w:color w:val="auto"/>
          <w:sz w:val="20"/>
          <w:szCs w:val="20"/>
          <w:lang w:val="en-US"/>
        </w:rPr>
        <w:t>The 2022 data have been collected, quality checked and sent to DG-JUST in the framework of the 2024 EU Justice Scoreboard. The publication of the country profiles based on 2022 data will depend on final acceptation of the CEPEJ Study by DG-JUST. The CEPEJ Secretariat (</w:t>
      </w:r>
      <w:hyperlink r:id="rId10" w:history="1">
        <w:r w:rsidRPr="002D34E3">
          <w:rPr>
            <w:rStyle w:val="Hyperlink"/>
            <w:rFonts w:asciiTheme="minorHAnsi" w:hAnsiTheme="minorHAnsi" w:cstheme="minorHAnsi"/>
            <w:sz w:val="20"/>
            <w:szCs w:val="20"/>
            <w:lang w:val="en-US"/>
          </w:rPr>
          <w:t>christel.schurrer@coe.int</w:t>
        </w:r>
      </w:hyperlink>
      <w:r w:rsidRPr="002D34E3">
        <w:rPr>
          <w:rFonts w:asciiTheme="minorHAnsi" w:hAnsiTheme="minorHAnsi" w:cstheme="minorHAnsi"/>
          <w:color w:val="auto"/>
          <w:sz w:val="20"/>
          <w:szCs w:val="20"/>
          <w:lang w:val="en-US"/>
        </w:rPr>
        <w:t xml:space="preserve">)  remains at the disposal of European Commission for any question related to these data. </w:t>
      </w:r>
    </w:p>
    <w:p w14:paraId="47C46339" w14:textId="77777777" w:rsidR="00FF127D" w:rsidRPr="00397463" w:rsidRDefault="00FF127D" w:rsidP="002C388F">
      <w:pPr>
        <w:rPr>
          <w:lang w:val="en-US"/>
        </w:rPr>
      </w:pPr>
    </w:p>
    <w:p w14:paraId="1FF4E2B2" w14:textId="10A97C04" w:rsidR="005F6796" w:rsidRPr="00D42103" w:rsidRDefault="005F6796" w:rsidP="003E195A">
      <w:pPr>
        <w:rPr>
          <w:lang w:val="en-US"/>
        </w:rPr>
      </w:pPr>
    </w:p>
    <w:p w14:paraId="1341E806" w14:textId="0048C0E0" w:rsidR="00224CB5" w:rsidRDefault="005F6796" w:rsidP="003E195A">
      <w:pPr>
        <w:rPr>
          <w:lang w:val="en-GB"/>
        </w:rPr>
      </w:pPr>
      <w:r w:rsidRPr="00397463">
        <w:rPr>
          <w:lang w:val="en-GB"/>
        </w:rPr>
        <w:t xml:space="preserve">Execution of judgments in </w:t>
      </w:r>
      <w:hyperlink r:id="rId11" w:history="1">
        <w:r w:rsidRPr="00397463">
          <w:rPr>
            <w:rStyle w:val="Hyperlink"/>
            <w:lang w:val="en-GB"/>
          </w:rPr>
          <w:t>France</w:t>
        </w:r>
      </w:hyperlink>
      <w:r w:rsidRPr="00397463">
        <w:rPr>
          <w:lang w:val="en-GB"/>
        </w:rPr>
        <w:t xml:space="preserve"> </w:t>
      </w:r>
    </w:p>
    <w:p w14:paraId="021BF858" w14:textId="5790C630" w:rsidR="003F5E23" w:rsidRDefault="003F5E23" w:rsidP="003E195A">
      <w:pPr>
        <w:rPr>
          <w:lang w:val="en-GB"/>
        </w:rPr>
      </w:pPr>
    </w:p>
    <w:p w14:paraId="65F6107F" w14:textId="77777777" w:rsidR="003F5E23" w:rsidRPr="003F5E23" w:rsidRDefault="003F5E23" w:rsidP="003F5E23">
      <w:pPr>
        <w:jc w:val="both"/>
        <w:rPr>
          <w:rFonts w:eastAsia="Calibri" w:cstheme="minorHAnsi"/>
          <w:i/>
          <w:iCs/>
          <w:lang w:val="en-US"/>
        </w:rPr>
      </w:pPr>
      <w:r w:rsidRPr="003F5E23">
        <w:rPr>
          <w:rFonts w:cstheme="minorHAnsi"/>
          <w:i/>
          <w:iCs/>
          <w:lang w:val="en-GB"/>
        </w:rPr>
        <w:t>-Implementation by the public administration and State institutions of final court decisions</w:t>
      </w:r>
    </w:p>
    <w:p w14:paraId="2BE3C2E9" w14:textId="77777777" w:rsidR="003F5E23" w:rsidRPr="003F5E23" w:rsidRDefault="003F5E23" w:rsidP="003F5E23">
      <w:pPr>
        <w:jc w:val="both"/>
        <w:rPr>
          <w:rFonts w:eastAsia="Calibri" w:cstheme="minorHAnsi"/>
          <w:i/>
          <w:iCs/>
          <w:lang w:val="en-US"/>
        </w:rPr>
      </w:pPr>
    </w:p>
    <w:p w14:paraId="5BB93843" w14:textId="77777777" w:rsidR="003F5E23" w:rsidRPr="003F5E23" w:rsidRDefault="003F5E23" w:rsidP="003F5E23">
      <w:pPr>
        <w:jc w:val="both"/>
        <w:rPr>
          <w:rFonts w:eastAsia="Calibri" w:cstheme="minorHAnsi"/>
          <w:lang w:val="en-US"/>
        </w:rPr>
      </w:pPr>
      <w:r w:rsidRPr="003F5E23">
        <w:rPr>
          <w:rFonts w:eastAsia="Calibri" w:cstheme="minorHAnsi"/>
          <w:u w:val="single"/>
          <w:lang w:val="en-US"/>
        </w:rPr>
        <w:t>M.K. and others</w:t>
      </w:r>
      <w:r w:rsidRPr="003F5E23">
        <w:rPr>
          <w:rFonts w:eastAsia="Calibri" w:cstheme="minorHAnsi"/>
          <w:lang w:val="en-US"/>
        </w:rPr>
        <w:t xml:space="preserve"> (No. 34349/18) (STAND): refusal to execute judicial orders to accommodate urgently asylum-seekers and their children. Three new similar judgments, final on 23 November 2023: </w:t>
      </w:r>
      <w:r w:rsidRPr="003F5E23">
        <w:rPr>
          <w:rFonts w:eastAsia="Calibri" w:cstheme="minorHAnsi"/>
          <w:i/>
          <w:iCs/>
          <w:lang w:val="en-US"/>
        </w:rPr>
        <w:t>T.A. and Y.T.</w:t>
      </w:r>
      <w:r w:rsidRPr="003F5E23">
        <w:rPr>
          <w:rFonts w:eastAsia="Calibri" w:cstheme="minorHAnsi"/>
          <w:lang w:val="en-US"/>
        </w:rPr>
        <w:t xml:space="preserve"> (No. 14787/19), </w:t>
      </w:r>
      <w:r w:rsidRPr="003F5E23">
        <w:rPr>
          <w:rFonts w:eastAsia="Calibri" w:cstheme="minorHAnsi"/>
          <w:i/>
          <w:iCs/>
          <w:lang w:val="en-US"/>
        </w:rPr>
        <w:t>C.C.</w:t>
      </w:r>
      <w:r w:rsidRPr="003F5E23">
        <w:rPr>
          <w:rFonts w:eastAsia="Calibri" w:cstheme="minorHAnsi"/>
          <w:lang w:val="en-US"/>
        </w:rPr>
        <w:t xml:space="preserve"> (No. 48689/18) and </w:t>
      </w:r>
      <w:r w:rsidRPr="003F5E23">
        <w:rPr>
          <w:rFonts w:eastAsia="Calibri" w:cstheme="minorHAnsi"/>
          <w:i/>
          <w:iCs/>
          <w:lang w:val="en-US"/>
        </w:rPr>
        <w:t>S.A. and others</w:t>
      </w:r>
      <w:r w:rsidRPr="003F5E23">
        <w:rPr>
          <w:rFonts w:eastAsia="Calibri" w:cstheme="minorHAnsi"/>
          <w:lang w:val="en-US"/>
        </w:rPr>
        <w:t xml:space="preserve"> (No. 40429/19).</w:t>
      </w:r>
    </w:p>
    <w:p w14:paraId="6BB05773" w14:textId="77777777" w:rsidR="003F5E23" w:rsidRPr="003F5E23" w:rsidRDefault="003F5E23" w:rsidP="003F5E23">
      <w:pPr>
        <w:jc w:val="both"/>
        <w:rPr>
          <w:rFonts w:eastAsia="Calibri" w:cstheme="minorHAnsi"/>
          <w:b/>
          <w:bCs/>
          <w:lang w:val="en-US"/>
        </w:rPr>
      </w:pPr>
    </w:p>
    <w:p w14:paraId="6717D34E" w14:textId="77777777" w:rsidR="003F5E23" w:rsidRPr="003F5E23" w:rsidRDefault="003F5E23" w:rsidP="003F5E23">
      <w:pPr>
        <w:spacing w:line="259" w:lineRule="auto"/>
        <w:jc w:val="both"/>
        <w:rPr>
          <w:rFonts w:cstheme="minorHAnsi"/>
          <w:lang w:val="en-GB"/>
        </w:rPr>
      </w:pPr>
      <w:r w:rsidRPr="003F5E23">
        <w:rPr>
          <w:rFonts w:cstheme="minorHAnsi"/>
          <w:lang w:val="en-GB"/>
        </w:rPr>
        <w:t xml:space="preserve">Presentation on Hudoc.exec: </w:t>
      </w:r>
      <w:hyperlink r:id="rId12" w:anchor="{%22fulltext%22:[%22N.H.%22],%22execdocumenttypecollection%22:[%22CEC%22],%22execidentifier%22:[%22004-56046%22]}" w:history="1">
        <w:r w:rsidRPr="003F5E23">
          <w:rPr>
            <w:rStyle w:val="Hyperlink"/>
            <w:rFonts w:cstheme="minorHAnsi"/>
            <w:lang w:val="en-GB"/>
          </w:rPr>
          <w:t>N.H. and others</w:t>
        </w:r>
      </w:hyperlink>
      <w:r w:rsidRPr="003F5E23">
        <w:rPr>
          <w:rFonts w:cstheme="minorHAnsi"/>
          <w:lang w:val="en-GB"/>
        </w:rPr>
        <w:t xml:space="preserve"> (leading case for M.K. and others)</w:t>
      </w:r>
    </w:p>
    <w:p w14:paraId="18125358" w14:textId="77777777" w:rsidR="003F5E23" w:rsidRPr="003F5E23" w:rsidRDefault="00000000" w:rsidP="003F5E23">
      <w:pPr>
        <w:spacing w:line="259" w:lineRule="auto"/>
        <w:jc w:val="both"/>
        <w:rPr>
          <w:rFonts w:cstheme="minorHAnsi"/>
          <w:lang w:val="en-GB"/>
        </w:rPr>
      </w:pPr>
      <w:hyperlink r:id="rId13" w:anchor="{%22fulltext%22:[%22McFarlane%22],%22display%22:[2],%22EXECIdentifier%22:[%22CM/Del/Dec(2020)1383/H46-10E%22]}" w:history="1">
        <w:r w:rsidR="003F5E23" w:rsidRPr="003F5E23">
          <w:rPr>
            <w:rFonts w:cstheme="minorHAnsi"/>
            <w:lang w:val="en-GB"/>
          </w:rPr>
          <w:t>Latest decisions</w:t>
        </w:r>
      </w:hyperlink>
      <w:r w:rsidR="003F5E23" w:rsidRPr="003F5E23">
        <w:rPr>
          <w:rFonts w:cstheme="minorHAnsi"/>
          <w:lang w:val="en-GB"/>
        </w:rPr>
        <w:t>: n/a</w:t>
      </w:r>
    </w:p>
    <w:p w14:paraId="1214220D" w14:textId="77777777" w:rsidR="003F5E23" w:rsidRPr="003F5E23" w:rsidRDefault="003F5E23" w:rsidP="003F5E23">
      <w:pPr>
        <w:spacing w:line="259" w:lineRule="auto"/>
        <w:jc w:val="both"/>
        <w:rPr>
          <w:rFonts w:cstheme="minorHAnsi"/>
          <w:lang w:val="en-US"/>
        </w:rPr>
      </w:pPr>
      <w:r w:rsidRPr="003F5E23">
        <w:rPr>
          <w:rFonts w:cstheme="minorHAnsi"/>
          <w:lang w:val="en-GB"/>
        </w:rPr>
        <w:t xml:space="preserve">Latest submissions: </w:t>
      </w:r>
      <w:hyperlink r:id="rId14" w:tgtFrame="_blank" w:history="1">
        <w:r w:rsidRPr="003F5E23">
          <w:rPr>
            <w:rStyle w:val="s682a13c7"/>
            <w:rFonts w:cstheme="minorHAnsi"/>
            <w:color w:val="0000FF"/>
            <w:shd w:val="clear" w:color="auto" w:fill="FFFFFF"/>
            <w:lang w:val="en-US"/>
          </w:rPr>
          <w:t>DH-DD(2023)1090</w:t>
        </w:r>
      </w:hyperlink>
    </w:p>
    <w:p w14:paraId="680FFD82" w14:textId="79D61EC1" w:rsidR="003F5E23" w:rsidRDefault="003F5E23" w:rsidP="003E195A">
      <w:pPr>
        <w:rPr>
          <w:lang w:val="en-GB"/>
        </w:rPr>
      </w:pPr>
    </w:p>
    <w:p w14:paraId="2666D28B" w14:textId="51A7DEDC" w:rsidR="0096787E" w:rsidRDefault="0096787E" w:rsidP="003E195A">
      <w:pPr>
        <w:rPr>
          <w:lang w:val="en-GB"/>
        </w:rPr>
      </w:pPr>
    </w:p>
    <w:p w14:paraId="4BF592D8" w14:textId="77777777" w:rsidR="00B74BD8" w:rsidRDefault="00B74BD8" w:rsidP="00B74BD8">
      <w:pPr>
        <w:rPr>
          <w:rFonts w:cstheme="minorHAnsi"/>
          <w:lang w:val="en-US"/>
        </w:rPr>
      </w:pPr>
    </w:p>
    <w:p w14:paraId="0D7E58BF" w14:textId="77777777" w:rsidR="00B74BD8" w:rsidRDefault="00B74BD8" w:rsidP="00B74BD8">
      <w:pPr>
        <w:rPr>
          <w:rFonts w:cstheme="minorHAnsi"/>
          <w:lang w:val="en-US"/>
        </w:rPr>
      </w:pPr>
    </w:p>
    <w:p w14:paraId="1D3576B0" w14:textId="270F3559" w:rsidR="00B74BD8" w:rsidRPr="00606749" w:rsidRDefault="00B74BD8" w:rsidP="00B74BD8">
      <w:pPr>
        <w:rPr>
          <w:rFonts w:cstheme="minorHAnsi"/>
          <w:lang w:val="en-US"/>
        </w:rPr>
      </w:pPr>
      <w:r w:rsidRPr="00606749">
        <w:rPr>
          <w:rFonts w:cstheme="minorHAnsi"/>
          <w:lang w:val="en-US"/>
        </w:rPr>
        <w:lastRenderedPageBreak/>
        <w:t>The European Commission for Democracy through Law – Venice Commission</w:t>
      </w:r>
    </w:p>
    <w:p w14:paraId="3B53E870" w14:textId="0A62EA7C" w:rsidR="00B74BD8" w:rsidRDefault="00000000" w:rsidP="00B74BD8">
      <w:pPr>
        <w:shd w:val="clear" w:color="auto" w:fill="FFFFFF"/>
        <w:jc w:val="both"/>
        <w:rPr>
          <w:rFonts w:eastAsia="Times New Roman" w:cstheme="minorHAnsi"/>
          <w:color w:val="000000" w:themeColor="text1"/>
          <w:lang w:val="en-US"/>
        </w:rPr>
      </w:pPr>
      <w:hyperlink r:id="rId15" w:history="1">
        <w:r w:rsidR="00B74BD8" w:rsidRPr="00B74BD8">
          <w:rPr>
            <w:rStyle w:val="Hyperlink"/>
            <w:rFonts w:eastAsia="Times New Roman" w:cstheme="minorHAnsi"/>
            <w:lang w:val="en-US"/>
          </w:rPr>
          <w:t>CDL-AD(2023)015</w:t>
        </w:r>
        <w:r w:rsidR="00B74BD8" w:rsidRPr="00B74BD8">
          <w:rPr>
            <w:rStyle w:val="Hyperlink"/>
            <w:rFonts w:ascii="Arial" w:eastAsia="Times New Roman" w:hAnsi="Arial" w:cs="Arial"/>
            <w:lang w:val="en-US"/>
          </w:rPr>
          <w:t>  </w:t>
        </w:r>
      </w:hyperlink>
      <w:r w:rsidR="00B74BD8" w:rsidRPr="00A75FE9">
        <w:rPr>
          <w:rFonts w:ascii="Arial" w:eastAsia="Times New Roman" w:hAnsi="Arial" w:cs="Arial"/>
          <w:color w:val="000000" w:themeColor="text1"/>
          <w:lang w:val="en-US"/>
        </w:rPr>
        <w:t xml:space="preserve"> </w:t>
      </w:r>
      <w:r w:rsidR="00B74BD8" w:rsidRPr="00A75FE9">
        <w:rPr>
          <w:rFonts w:ascii="Arial" w:eastAsia="Times New Roman" w:hAnsi="Arial" w:cs="Arial"/>
          <w:color w:val="000000" w:themeColor="text1"/>
          <w:lang w:val="en-US"/>
        </w:rPr>
        <w:br/>
      </w:r>
      <w:hyperlink r:id="rId16" w:history="1">
        <w:r w:rsidR="00B74BD8" w:rsidRPr="00B74BD8">
          <w:rPr>
            <w:rFonts w:eastAsia="Times New Roman" w:cstheme="minorHAnsi"/>
            <w:color w:val="000000" w:themeColor="text1"/>
            <w:lang w:val="en-US"/>
          </w:rPr>
          <w:t>France - Joint opinion of the Venice Commission and the Directorate General of Human Rights and Rule of Law (DGI) of the Council of Europe on the Superior Council of Magistracy and the status of the judiciary as regards nominations, mutations, promotions and disciplinary procedures, adopted by the Venice Commission at its 135th Plenary Session (Venice, 9-10 June 2023)</w:t>
        </w:r>
      </w:hyperlink>
    </w:p>
    <w:p w14:paraId="272ED0B2" w14:textId="4A091681" w:rsidR="00F27445" w:rsidRDefault="00F27445" w:rsidP="00B74BD8">
      <w:pPr>
        <w:shd w:val="clear" w:color="auto" w:fill="FFFFFF"/>
        <w:jc w:val="both"/>
        <w:rPr>
          <w:rFonts w:eastAsia="Times New Roman" w:cstheme="minorHAnsi"/>
          <w:color w:val="000000" w:themeColor="text1"/>
          <w:lang w:val="en-US"/>
        </w:rPr>
      </w:pPr>
    </w:p>
    <w:p w14:paraId="7BD37528" w14:textId="588FDA4E" w:rsidR="00F27445" w:rsidRPr="00A75FE9" w:rsidRDefault="00000000" w:rsidP="00F27445">
      <w:pPr>
        <w:jc w:val="both"/>
        <w:rPr>
          <w:rFonts w:ascii="Arial" w:hAnsi="Arial" w:cs="Arial"/>
          <w:lang w:val="en-GB"/>
        </w:rPr>
      </w:pPr>
      <w:hyperlink r:id="rId17" w:history="1">
        <w:r w:rsidR="00F27445" w:rsidRPr="00F27445">
          <w:rPr>
            <w:rStyle w:val="Hyperlink"/>
            <w:rFonts w:eastAsia="Times New Roman" w:cstheme="minorHAnsi"/>
            <w:lang w:val="en-US"/>
          </w:rPr>
          <w:t>CDL-AD(2023)024</w:t>
        </w:r>
        <w:r w:rsidR="00F27445" w:rsidRPr="00F27445">
          <w:rPr>
            <w:rStyle w:val="Hyperlink"/>
            <w:rFonts w:ascii="Arial" w:eastAsia="Times New Roman" w:hAnsi="Arial" w:cs="Arial"/>
            <w:lang w:val="en-US"/>
          </w:rPr>
          <w:t>  </w:t>
        </w:r>
      </w:hyperlink>
      <w:r w:rsidR="00F27445" w:rsidRPr="00A75FE9">
        <w:rPr>
          <w:rFonts w:ascii="Arial" w:eastAsia="Times New Roman" w:hAnsi="Arial" w:cs="Arial"/>
          <w:color w:val="000066"/>
          <w:lang w:val="en-US"/>
        </w:rPr>
        <w:t xml:space="preserve"> </w:t>
      </w:r>
      <w:r w:rsidR="00F27445" w:rsidRPr="00A75FE9">
        <w:rPr>
          <w:rFonts w:ascii="Arial" w:eastAsia="Times New Roman" w:hAnsi="Arial" w:cs="Arial"/>
          <w:color w:val="000066"/>
          <w:lang w:val="en-US"/>
        </w:rPr>
        <w:br/>
      </w:r>
      <w:hyperlink r:id="rId18" w:history="1">
        <w:r w:rsidR="00F27445" w:rsidRPr="00F27445">
          <w:rPr>
            <w:rFonts w:eastAsia="Times New Roman" w:cstheme="minorHAnsi"/>
            <w:color w:val="000000" w:themeColor="text1"/>
            <w:lang w:val="en-US"/>
          </w:rPr>
          <w:t>France - Interim opinion on the Article 49.3 of the Constitution, adopted by the Venice Commission at its 135th Plenary Session (Venice, 9-10 June 2023)</w:t>
        </w:r>
      </w:hyperlink>
    </w:p>
    <w:p w14:paraId="59B12489" w14:textId="77777777" w:rsidR="00F27445" w:rsidRPr="00F27445" w:rsidRDefault="00F27445" w:rsidP="00B74BD8">
      <w:pPr>
        <w:shd w:val="clear" w:color="auto" w:fill="FFFFFF"/>
        <w:jc w:val="both"/>
        <w:rPr>
          <w:rFonts w:ascii="Arial" w:eastAsia="Times New Roman" w:hAnsi="Arial" w:cs="Arial"/>
          <w:color w:val="4472C4" w:themeColor="accent1"/>
          <w:lang w:val="en-GB"/>
        </w:rPr>
      </w:pPr>
    </w:p>
    <w:p w14:paraId="0BCD3362" w14:textId="77777777" w:rsidR="007117A7" w:rsidRDefault="007117A7" w:rsidP="007117A7">
      <w:pPr>
        <w:rPr>
          <w:lang w:val="en-GB"/>
        </w:rPr>
      </w:pPr>
      <w:r>
        <w:rPr>
          <w:lang w:val="en-GB"/>
        </w:rPr>
        <w:t>PACE</w:t>
      </w:r>
    </w:p>
    <w:p w14:paraId="5A38E61B" w14:textId="77777777" w:rsidR="007117A7" w:rsidRDefault="007117A7" w:rsidP="007117A7">
      <w:pPr>
        <w:rPr>
          <w:lang w:val="en-GB"/>
        </w:rPr>
      </w:pPr>
    </w:p>
    <w:p w14:paraId="53E079CA" w14:textId="77777777" w:rsidR="007117A7" w:rsidRPr="005B145D" w:rsidRDefault="007117A7" w:rsidP="007117A7">
      <w:pPr>
        <w:rPr>
          <w:rFonts w:eastAsia="Times New Roman" w:cstheme="minorHAnsi"/>
          <w:color w:val="000000"/>
          <w:lang w:val="en-GB"/>
        </w:rPr>
      </w:pPr>
      <w:r w:rsidRPr="005B145D">
        <w:rPr>
          <w:rFonts w:eastAsia="Times New Roman" w:cstheme="minorHAnsi"/>
          <w:color w:val="000000"/>
          <w:lang w:val="en-GB"/>
        </w:rPr>
        <w:t>Committee on the Honouring of Obligations and Commitments by member States of the Council of Europe (Monitoring Committee)</w:t>
      </w:r>
    </w:p>
    <w:p w14:paraId="301D78E3" w14:textId="0D13ED8E" w:rsidR="0096787E" w:rsidRDefault="0096787E" w:rsidP="003E195A">
      <w:pPr>
        <w:rPr>
          <w:lang w:val="en-GB"/>
        </w:rPr>
      </w:pPr>
    </w:p>
    <w:p w14:paraId="4DA5B3FC" w14:textId="0F07D77E" w:rsidR="007117A7" w:rsidRPr="007117A7" w:rsidRDefault="00000000" w:rsidP="007117A7">
      <w:pPr>
        <w:rPr>
          <w:rFonts w:eastAsia="Calibri" w:cstheme="minorHAnsi"/>
          <w:lang w:val="en-US"/>
        </w:rPr>
      </w:pPr>
      <w:hyperlink r:id="rId19" w:history="1">
        <w:r w:rsidR="007117A7" w:rsidRPr="007117A7">
          <w:rPr>
            <w:rFonts w:eastAsia="Calibri" w:cstheme="minorHAnsi"/>
            <w:color w:val="0000FF"/>
            <w:u w:val="single"/>
            <w:lang w:val="en-US"/>
          </w:rPr>
          <w:t>Doc. 15833</w:t>
        </w:r>
      </w:hyperlink>
      <w:r w:rsidR="007117A7" w:rsidRPr="007117A7">
        <w:rPr>
          <w:rFonts w:eastAsia="Calibri" w:cstheme="minorHAnsi"/>
          <w:lang w:val="en-US"/>
        </w:rPr>
        <w:t xml:space="preserve"> | </w:t>
      </w:r>
      <w:hyperlink r:id="rId20" w:anchor="trace-2" w:history="1">
        <w:r w:rsidR="007117A7" w:rsidRPr="007117A7">
          <w:rPr>
            <w:rFonts w:eastAsia="Calibri" w:cstheme="minorHAnsi"/>
            <w:color w:val="0000FF"/>
            <w:u w:val="single"/>
            <w:lang w:val="en-US"/>
          </w:rPr>
          <w:t>Resolution 2512 (2023)</w:t>
        </w:r>
      </w:hyperlink>
      <w:r w:rsidR="007117A7" w:rsidRPr="007117A7">
        <w:rPr>
          <w:rFonts w:eastAsia="Calibri" w:cstheme="minorHAnsi"/>
          <w:lang w:val="en-US"/>
        </w:rPr>
        <w:t xml:space="preserve"> |</w:t>
      </w:r>
      <w:r w:rsidR="007117A7" w:rsidRPr="007117A7">
        <w:rPr>
          <w:rFonts w:eastAsia="Calibri" w:cstheme="minorHAnsi"/>
          <w:color w:val="0000FF"/>
          <w:u w:val="single"/>
          <w:lang w:val="en-US"/>
        </w:rPr>
        <w:t xml:space="preserve"> </w:t>
      </w:r>
      <w:hyperlink r:id="rId21" w:history="1">
        <w:r w:rsidR="007117A7" w:rsidRPr="007117A7">
          <w:rPr>
            <w:rFonts w:eastAsia="Calibri" w:cstheme="minorHAnsi"/>
            <w:color w:val="0000FF"/>
            <w:u w:val="single"/>
            <w:lang w:val="en-US"/>
          </w:rPr>
          <w:t>Doc. 15893</w:t>
        </w:r>
      </w:hyperlink>
    </w:p>
    <w:p w14:paraId="68F6A00A" w14:textId="77777777" w:rsidR="007117A7" w:rsidRPr="007117A7" w:rsidRDefault="007117A7" w:rsidP="007117A7">
      <w:pPr>
        <w:rPr>
          <w:rFonts w:eastAsia="Calibri" w:cstheme="minorHAnsi"/>
          <w:lang w:val="en-US"/>
        </w:rPr>
      </w:pPr>
    </w:p>
    <w:p w14:paraId="58668323" w14:textId="77777777" w:rsidR="007117A7" w:rsidRPr="007117A7" w:rsidRDefault="007117A7" w:rsidP="007117A7">
      <w:pPr>
        <w:contextualSpacing/>
        <w:jc w:val="both"/>
        <w:rPr>
          <w:rFonts w:eastAsia="Calibri" w:cstheme="minorHAnsi"/>
          <w:lang w:val="en-US"/>
        </w:rPr>
      </w:pPr>
      <w:r w:rsidRPr="007117A7">
        <w:rPr>
          <w:rFonts w:eastAsia="Calibri" w:cstheme="minorHAnsi"/>
          <w:lang w:val="en-US"/>
        </w:rPr>
        <w:t xml:space="preserve">With reference to </w:t>
      </w:r>
      <w:hyperlink r:id="rId22" w:anchor="trace-2" w:history="1">
        <w:r w:rsidRPr="007117A7">
          <w:rPr>
            <w:rFonts w:eastAsia="Calibri" w:cstheme="minorHAnsi"/>
            <w:color w:val="0000FF"/>
            <w:u w:val="single"/>
            <w:lang w:val="en-GB"/>
          </w:rPr>
          <w:t>Resolution 2512 (2023)</w:t>
        </w:r>
      </w:hyperlink>
      <w:r w:rsidRPr="007117A7">
        <w:rPr>
          <w:rFonts w:eastAsia="Calibri" w:cstheme="minorHAnsi"/>
          <w:lang w:val="en-US"/>
        </w:rPr>
        <w:t>, the Assembly reiterates its call for legislative and constitutional reforms to address the Venice Commission’s recommendations regarding the Superior Judicial Council, the status of magistrates and article 49 of the French Constitution. The Assembly urges the authorities to introduce an effective system of recording identity checks and to publish statistics on the number of people wounded or killed during protests with a view to improving the accountability of law enforcement officials. In that context, the Assembly strongly encourages the authorities to improve the prosecution of cases of unlawful violence committed by law enforcement officers and to reform the police and gendarmerie inspectorates so as to improve perceptions of their independence and impartiality. While it welcomes the measures taken by the authorities to reduce prison overcrowding, the Assembly notes that prison population statistics show that the overcrowding in practice is worsening. It therefore recommends the authorities to consider introducing a binding mechanism for regulating the prison population.</w:t>
      </w:r>
    </w:p>
    <w:p w14:paraId="7850C515" w14:textId="77777777" w:rsidR="007117A7" w:rsidRPr="007117A7" w:rsidRDefault="007117A7" w:rsidP="003E195A">
      <w:pPr>
        <w:rPr>
          <w:lang w:val="en-US"/>
        </w:rPr>
      </w:pPr>
    </w:p>
    <w:p w14:paraId="5C79AE80" w14:textId="40FEE973" w:rsidR="004A628B" w:rsidRDefault="004A628B" w:rsidP="004A628B">
      <w:pPr>
        <w:pStyle w:val="Heading1"/>
        <w:rPr>
          <w:lang w:val="en-US"/>
        </w:rPr>
      </w:pPr>
      <w:bookmarkStart w:id="1" w:name="_Toc36635832"/>
      <w:r>
        <w:rPr>
          <w:lang w:val="en-US"/>
        </w:rPr>
        <w:t xml:space="preserve">II </w:t>
      </w:r>
      <w:r w:rsidRPr="00546B57">
        <w:rPr>
          <w:lang w:val="en-US"/>
        </w:rPr>
        <w:t>Anti-corruption framework</w:t>
      </w:r>
      <w:bookmarkEnd w:id="1"/>
      <w:r w:rsidRPr="00546B57">
        <w:rPr>
          <w:lang w:val="en-US"/>
        </w:rPr>
        <w:t xml:space="preserve"> </w:t>
      </w:r>
    </w:p>
    <w:p w14:paraId="7B3229E6" w14:textId="77777777" w:rsidR="00D42103" w:rsidRPr="003E195A" w:rsidRDefault="00D42103" w:rsidP="00D42103">
      <w:pPr>
        <w:pStyle w:val="Default"/>
        <w:rPr>
          <w:color w:val="auto"/>
          <w:sz w:val="20"/>
          <w:szCs w:val="20"/>
          <w:lang w:val="en-US"/>
        </w:rPr>
      </w:pPr>
      <w:r w:rsidRPr="003E195A">
        <w:rPr>
          <w:color w:val="auto"/>
          <w:sz w:val="20"/>
          <w:szCs w:val="20"/>
          <w:lang w:val="en-US"/>
        </w:rPr>
        <w:t>N/A</w:t>
      </w:r>
    </w:p>
    <w:p w14:paraId="4328586A" w14:textId="77777777" w:rsidR="004A628B" w:rsidRPr="00546B57" w:rsidRDefault="004A628B" w:rsidP="00A75B23">
      <w:pPr>
        <w:pStyle w:val="Default"/>
        <w:rPr>
          <w:color w:val="auto"/>
          <w:sz w:val="22"/>
          <w:szCs w:val="22"/>
          <w:lang w:val="en-US"/>
        </w:rPr>
      </w:pPr>
    </w:p>
    <w:p w14:paraId="51501847" w14:textId="77777777" w:rsidR="003123F4" w:rsidRDefault="001D0AE0" w:rsidP="003123F4">
      <w:pPr>
        <w:pStyle w:val="Heading1"/>
        <w:rPr>
          <w:lang w:val="en-US"/>
        </w:rPr>
      </w:pPr>
      <w:bookmarkStart w:id="2" w:name="_Toc36635845"/>
      <w:r>
        <w:rPr>
          <w:lang w:val="en-US"/>
        </w:rPr>
        <w:t xml:space="preserve">III </w:t>
      </w:r>
      <w:r w:rsidR="004A628B" w:rsidRPr="00546B57">
        <w:rPr>
          <w:lang w:val="en-US"/>
        </w:rPr>
        <w:t>Media pluralism</w:t>
      </w:r>
      <w:bookmarkEnd w:id="2"/>
      <w:r w:rsidR="004A628B" w:rsidRPr="00546B57">
        <w:rPr>
          <w:lang w:val="en-US"/>
        </w:rPr>
        <w:t xml:space="preserve"> </w:t>
      </w:r>
    </w:p>
    <w:p w14:paraId="2B3245A0" w14:textId="71908BCC" w:rsidR="003123F4" w:rsidRPr="003123F4" w:rsidRDefault="00000000" w:rsidP="003123F4">
      <w:pPr>
        <w:pStyle w:val="Heading1"/>
        <w:rPr>
          <w:lang w:val="en-US"/>
        </w:rPr>
      </w:pPr>
      <w:hyperlink r:id="rId23" w:history="1">
        <w:r w:rsidR="003123F4" w:rsidRPr="003123F4">
          <w:rPr>
            <w:rStyle w:val="Hyperlink"/>
            <w:rFonts w:asciiTheme="minorHAnsi" w:eastAsiaTheme="minorHAnsi" w:hAnsiTheme="minorHAnsi" w:cstheme="minorHAnsi"/>
            <w:b/>
            <w:bCs/>
            <w:sz w:val="20"/>
            <w:szCs w:val="20"/>
            <w:lang w:val="en-GB"/>
          </w:rPr>
          <w:t>CASE OF SANCHEZ v. FRANCE</w:t>
        </w:r>
      </w:hyperlink>
    </w:p>
    <w:p w14:paraId="42A5DEBF" w14:textId="77777777" w:rsidR="003123F4" w:rsidRPr="003123F4" w:rsidRDefault="003123F4" w:rsidP="003123F4">
      <w:pPr>
        <w:jc w:val="both"/>
        <w:rPr>
          <w:rFonts w:eastAsiaTheme="minorHAnsi" w:cstheme="minorHAnsi"/>
          <w:lang w:val="en-GB"/>
        </w:rPr>
      </w:pPr>
      <w:r w:rsidRPr="003123F4">
        <w:rPr>
          <w:rFonts w:eastAsiaTheme="minorHAnsi" w:cstheme="minorHAnsi"/>
          <w:lang w:val="en-GB"/>
        </w:rPr>
        <w:t>Julien Sanchez, a Front National candidate, faced legal and financial repercussions for comments posted on his Facebook wall by third parties, which were considered incitement to hatred against the Muslim population.</w:t>
      </w:r>
    </w:p>
    <w:p w14:paraId="705F1422" w14:textId="77777777" w:rsidR="003123F4" w:rsidRPr="003123F4" w:rsidRDefault="003123F4" w:rsidP="003123F4">
      <w:pPr>
        <w:jc w:val="both"/>
        <w:rPr>
          <w:rFonts w:eastAsiaTheme="minorHAnsi" w:cstheme="minorHAnsi"/>
          <w:lang w:val="en-GB"/>
        </w:rPr>
      </w:pPr>
      <w:r w:rsidRPr="003123F4">
        <w:rPr>
          <w:rFonts w:eastAsiaTheme="minorHAnsi" w:cstheme="minorHAnsi"/>
          <w:lang w:val="en-GB"/>
        </w:rPr>
        <w:t xml:space="preserve">The ECtHR acknowledged that the comments themselves were clearly unlawful, despite them taking place in a political context. The ECtHR also found that Mr Sanchez, as a public figure, had made the Facebook page public and therefore assumed responsibility (alongside the platform and operator) for the content of the statements published. The ECtHR deemed </w:t>
      </w:r>
      <w:bookmarkStart w:id="3" w:name="_Int_0PKDmael"/>
      <w:r w:rsidRPr="003123F4">
        <w:rPr>
          <w:rFonts w:eastAsiaTheme="minorHAnsi" w:cstheme="minorHAnsi"/>
          <w:lang w:val="en-GB"/>
        </w:rPr>
        <w:t>the interference</w:t>
      </w:r>
      <w:bookmarkEnd w:id="3"/>
      <w:r w:rsidRPr="003123F4">
        <w:rPr>
          <w:rFonts w:eastAsiaTheme="minorHAnsi" w:cstheme="minorHAnsi"/>
          <w:lang w:val="en-GB"/>
        </w:rPr>
        <w:t xml:space="preserve"> necessary in a democratic society. In her dissent, Judge Mouru-Vikström highlighted the risk of imposing a burden on account holders due to the duty it places on the account holder to monitor and take down illegal content and the inconsistencies with the </w:t>
      </w:r>
      <w:r w:rsidRPr="003123F4">
        <w:rPr>
          <w:rFonts w:eastAsiaTheme="minorHAnsi" w:cstheme="minorHAnsi"/>
          <w:i/>
          <w:iCs/>
          <w:lang w:val="en-GB"/>
        </w:rPr>
        <w:t xml:space="preserve">Delfi </w:t>
      </w:r>
      <w:r w:rsidRPr="003123F4">
        <w:rPr>
          <w:rFonts w:eastAsiaTheme="minorHAnsi" w:cstheme="minorHAnsi"/>
          <w:lang w:val="en-GB"/>
        </w:rPr>
        <w:t xml:space="preserve">judgment. </w:t>
      </w:r>
    </w:p>
    <w:p w14:paraId="0A9458E3" w14:textId="18DAB83A" w:rsidR="003123F4" w:rsidRPr="003123F4" w:rsidRDefault="003123F4" w:rsidP="003123F4">
      <w:pPr>
        <w:widowControl w:val="0"/>
        <w:suppressAutoHyphens/>
        <w:jc w:val="both"/>
        <w:rPr>
          <w:rFonts w:eastAsiaTheme="minorHAnsi" w:cstheme="minorHAnsi"/>
          <w:lang w:val="en-GB"/>
        </w:rPr>
      </w:pPr>
      <w:r w:rsidRPr="003123F4">
        <w:rPr>
          <w:rFonts w:eastAsiaTheme="minorHAnsi" w:cstheme="minorHAnsi"/>
          <w:b/>
          <w:bCs/>
          <w:lang w:val="en-GB"/>
        </w:rPr>
        <w:t>Violation of Article 10 ECHR</w:t>
      </w:r>
    </w:p>
    <w:p w14:paraId="15042D32" w14:textId="3AC824A3" w:rsidR="007D22D4" w:rsidRPr="003E195A" w:rsidRDefault="007D22D4" w:rsidP="004A628B">
      <w:pPr>
        <w:pStyle w:val="Default"/>
        <w:rPr>
          <w:color w:val="auto"/>
          <w:sz w:val="20"/>
          <w:szCs w:val="20"/>
          <w:lang w:val="en-US"/>
        </w:rPr>
      </w:pPr>
    </w:p>
    <w:p w14:paraId="1B05C105" w14:textId="77777777" w:rsidR="00F11FDF" w:rsidRPr="00F11FDF" w:rsidRDefault="00000000" w:rsidP="00F11FDF">
      <w:pPr>
        <w:widowControl w:val="0"/>
        <w:suppressAutoHyphens/>
        <w:jc w:val="both"/>
        <w:rPr>
          <w:rFonts w:eastAsiaTheme="minorHAnsi" w:cstheme="minorHAnsi"/>
          <w:b/>
          <w:bCs/>
          <w:u w:val="single"/>
          <w:lang w:val="en-GB"/>
        </w:rPr>
      </w:pPr>
      <w:hyperlink r:id="rId24" w:anchor="%7B%22tabview%22:%5B%22document%22%5D,%22itemid%22:%5B%22001-223162%22%5D%7D">
        <w:r w:rsidR="00F11FDF" w:rsidRPr="00F11FDF">
          <w:rPr>
            <w:rStyle w:val="Hyperlink"/>
            <w:rFonts w:eastAsiaTheme="minorHAnsi" w:cstheme="minorHAnsi"/>
            <w:b/>
            <w:bCs/>
            <w:lang w:val="en-GB"/>
          </w:rPr>
          <w:t>CASE OF C8 (CANAL 8) v. FRANCE</w:t>
        </w:r>
      </w:hyperlink>
    </w:p>
    <w:p w14:paraId="46CA9264" w14:textId="77777777" w:rsidR="00F11FDF" w:rsidRPr="00F11FDF" w:rsidRDefault="00F11FDF" w:rsidP="00F11FDF">
      <w:pPr>
        <w:jc w:val="both"/>
        <w:rPr>
          <w:rFonts w:eastAsiaTheme="minorHAnsi" w:cstheme="minorHAnsi"/>
          <w:lang w:val="en-GB"/>
        </w:rPr>
      </w:pPr>
      <w:r w:rsidRPr="00F11FDF">
        <w:rPr>
          <w:rFonts w:eastAsiaTheme="minorHAnsi" w:cstheme="minorHAnsi"/>
          <w:lang w:val="en-GB"/>
        </w:rPr>
        <w:t xml:space="preserve">The case involved a TV show, known among minors and young adults, which previously violated French broadcasting laws with inappropriate content. Two segments led to numerous complaints. The key issue was whether these sanctions, pursuing a legitimate aim, violated C8's freedom of expression. The ECtHR, considering the content's lack of contribution to public debate, its commercial nature, and privacy impact, upheld the CSA's </w:t>
      </w:r>
      <w:r w:rsidRPr="00F11FDF">
        <w:rPr>
          <w:rFonts w:eastAsiaTheme="minorHAnsi" w:cstheme="minorHAnsi"/>
          <w:lang w:val="en-GB"/>
        </w:rPr>
        <w:lastRenderedPageBreak/>
        <w:t>decisions, emphasizing the proportionality of the sanctions given C8's revenues, content context, and ethical violations.</w:t>
      </w:r>
    </w:p>
    <w:p w14:paraId="645EDB4B" w14:textId="78F538B0" w:rsidR="00F11FDF" w:rsidRPr="00F11FDF" w:rsidRDefault="00F11FDF" w:rsidP="00F11FDF">
      <w:pPr>
        <w:widowControl w:val="0"/>
        <w:suppressAutoHyphens/>
        <w:jc w:val="both"/>
        <w:rPr>
          <w:rFonts w:eastAsiaTheme="minorHAnsi" w:cstheme="minorHAnsi"/>
          <w:lang w:val="en-GB"/>
        </w:rPr>
      </w:pPr>
      <w:r w:rsidRPr="00F11FDF">
        <w:rPr>
          <w:rFonts w:eastAsiaTheme="minorHAnsi" w:cstheme="minorHAnsi"/>
          <w:b/>
          <w:bCs/>
          <w:lang w:val="en-GB"/>
        </w:rPr>
        <w:t>No violation of Article 10 ECHR</w:t>
      </w:r>
    </w:p>
    <w:p w14:paraId="1883CFCA" w14:textId="77777777" w:rsidR="007D22D4" w:rsidRPr="00F11FDF" w:rsidRDefault="007D22D4" w:rsidP="004A628B">
      <w:pPr>
        <w:pStyle w:val="Default"/>
        <w:rPr>
          <w:color w:val="auto"/>
          <w:sz w:val="22"/>
          <w:szCs w:val="22"/>
          <w:lang w:val="en-GB"/>
        </w:rPr>
      </w:pPr>
    </w:p>
    <w:p w14:paraId="3E1F9863" w14:textId="4020CAC1" w:rsidR="004A628B" w:rsidRDefault="004A628B" w:rsidP="004A628B">
      <w:pPr>
        <w:pStyle w:val="Heading1"/>
        <w:rPr>
          <w:lang w:val="en-US"/>
        </w:rPr>
      </w:pPr>
      <w:bookmarkStart w:id="4" w:name="_Toc36635858"/>
      <w:r>
        <w:rPr>
          <w:lang w:val="en-US"/>
        </w:rPr>
        <w:t>I</w:t>
      </w:r>
      <w:r w:rsidR="001D0AE0">
        <w:rPr>
          <w:lang w:val="en-US"/>
        </w:rPr>
        <w:t>V</w:t>
      </w:r>
      <w:r>
        <w:rPr>
          <w:lang w:val="en-US"/>
        </w:rPr>
        <w:t xml:space="preserve"> </w:t>
      </w:r>
      <w:r w:rsidRPr="00546B57">
        <w:rPr>
          <w:lang w:val="en-US"/>
        </w:rPr>
        <w:t>Other institutional issues related to checks and balances</w:t>
      </w:r>
      <w:bookmarkEnd w:id="4"/>
      <w:r w:rsidRPr="00546B57">
        <w:rPr>
          <w:lang w:val="en-US"/>
        </w:rPr>
        <w:t xml:space="preserve"> </w:t>
      </w:r>
    </w:p>
    <w:p w14:paraId="450F1FA3" w14:textId="703D7BAA" w:rsidR="003E195A" w:rsidRDefault="003E195A" w:rsidP="003E195A">
      <w:pPr>
        <w:rPr>
          <w:lang w:val="en-US"/>
        </w:rPr>
      </w:pPr>
    </w:p>
    <w:p w14:paraId="01C90A25" w14:textId="77777777" w:rsidR="003E195A" w:rsidRPr="003E195A" w:rsidRDefault="003E195A" w:rsidP="003E195A">
      <w:pPr>
        <w:pStyle w:val="Default"/>
        <w:rPr>
          <w:color w:val="auto"/>
          <w:sz w:val="20"/>
          <w:szCs w:val="20"/>
          <w:lang w:val="en-US"/>
        </w:rPr>
      </w:pPr>
      <w:r w:rsidRPr="003E195A">
        <w:rPr>
          <w:color w:val="auto"/>
          <w:sz w:val="20"/>
          <w:szCs w:val="20"/>
          <w:lang w:val="en-US"/>
        </w:rPr>
        <w:t>N/A</w:t>
      </w:r>
    </w:p>
    <w:p w14:paraId="01BE2598" w14:textId="138F76B0" w:rsidR="003E195A" w:rsidRPr="003E195A" w:rsidRDefault="003E195A" w:rsidP="003E195A">
      <w:pPr>
        <w:rPr>
          <w:lang w:val="en-US"/>
        </w:rPr>
      </w:pPr>
    </w:p>
    <w:p w14:paraId="30D2EC4D" w14:textId="77777777" w:rsidR="001A0B36" w:rsidRPr="001A0B36" w:rsidRDefault="001A0B36">
      <w:pPr>
        <w:rPr>
          <w:rFonts w:cs="Arial"/>
          <w:color w:val="FFFFFF" w:themeColor="background1"/>
          <w:sz w:val="22"/>
          <w:szCs w:val="22"/>
          <w:shd w:val="clear" w:color="auto" w:fill="1F3864" w:themeFill="accent1" w:themeFillShade="80"/>
          <w:lang w:val="en-GB"/>
        </w:rPr>
      </w:pPr>
    </w:p>
    <w:sectPr w:rsidR="001A0B36" w:rsidRPr="001A0B36" w:rsidSect="007B3B82">
      <w:footerReference w:type="default" r:id="rId25"/>
      <w:footerReference w:type="first" r:id="rId2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A8262" w14:textId="77777777" w:rsidR="00350554" w:rsidRDefault="00350554" w:rsidP="00857FF1">
      <w:r>
        <w:separator/>
      </w:r>
    </w:p>
  </w:endnote>
  <w:endnote w:type="continuationSeparator" w:id="0">
    <w:p w14:paraId="1ED67AA5" w14:textId="77777777" w:rsidR="00350554" w:rsidRDefault="00350554"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C3685" w14:textId="77777777" w:rsidR="00350554" w:rsidRDefault="00350554" w:rsidP="00857FF1">
      <w:r>
        <w:separator/>
      </w:r>
    </w:p>
  </w:footnote>
  <w:footnote w:type="continuationSeparator" w:id="0">
    <w:p w14:paraId="12805655" w14:textId="77777777" w:rsidR="00350554" w:rsidRDefault="00350554"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76B68"/>
    <w:multiLevelType w:val="hybridMultilevel"/>
    <w:tmpl w:val="240C69B2"/>
    <w:lvl w:ilvl="0" w:tplc="29F4D8F8">
      <w:start w:val="1"/>
      <w:numFmt w:val="decimal"/>
      <w:lvlText w:val="%1."/>
      <w:lvlJc w:val="left"/>
      <w:pPr>
        <w:ind w:left="720" w:hanging="360"/>
      </w:pPr>
    </w:lvl>
    <w:lvl w:ilvl="1" w:tplc="5F9682A0">
      <w:start w:val="1"/>
      <w:numFmt w:val="lowerLetter"/>
      <w:lvlText w:val="%2."/>
      <w:lvlJc w:val="left"/>
      <w:pPr>
        <w:ind w:left="1440" w:hanging="360"/>
      </w:pPr>
    </w:lvl>
    <w:lvl w:ilvl="2" w:tplc="C7220158">
      <w:start w:val="1"/>
      <w:numFmt w:val="lowerRoman"/>
      <w:lvlText w:val="%3."/>
      <w:lvlJc w:val="right"/>
      <w:pPr>
        <w:ind w:left="2160" w:hanging="180"/>
      </w:pPr>
    </w:lvl>
    <w:lvl w:ilvl="3" w:tplc="DF068E62">
      <w:start w:val="1"/>
      <w:numFmt w:val="decimal"/>
      <w:lvlText w:val="%4."/>
      <w:lvlJc w:val="left"/>
      <w:pPr>
        <w:ind w:left="2880" w:hanging="360"/>
      </w:pPr>
    </w:lvl>
    <w:lvl w:ilvl="4" w:tplc="BF00FA22">
      <w:start w:val="1"/>
      <w:numFmt w:val="lowerLetter"/>
      <w:lvlText w:val="%5."/>
      <w:lvlJc w:val="left"/>
      <w:pPr>
        <w:ind w:left="3600" w:hanging="360"/>
      </w:pPr>
    </w:lvl>
    <w:lvl w:ilvl="5" w:tplc="902E99CE">
      <w:start w:val="1"/>
      <w:numFmt w:val="lowerRoman"/>
      <w:lvlText w:val="%6."/>
      <w:lvlJc w:val="right"/>
      <w:pPr>
        <w:ind w:left="4320" w:hanging="180"/>
      </w:pPr>
    </w:lvl>
    <w:lvl w:ilvl="6" w:tplc="2472ABDA">
      <w:start w:val="1"/>
      <w:numFmt w:val="decimal"/>
      <w:lvlText w:val="%7."/>
      <w:lvlJc w:val="left"/>
      <w:pPr>
        <w:ind w:left="5040" w:hanging="360"/>
      </w:pPr>
    </w:lvl>
    <w:lvl w:ilvl="7" w:tplc="5B703CC4">
      <w:start w:val="1"/>
      <w:numFmt w:val="lowerLetter"/>
      <w:lvlText w:val="%8."/>
      <w:lvlJc w:val="left"/>
      <w:pPr>
        <w:ind w:left="5760" w:hanging="360"/>
      </w:pPr>
    </w:lvl>
    <w:lvl w:ilvl="8" w:tplc="8556AECE">
      <w:start w:val="1"/>
      <w:numFmt w:val="lowerRoman"/>
      <w:lvlText w:val="%9."/>
      <w:lvlJc w:val="right"/>
      <w:pPr>
        <w:ind w:left="6480" w:hanging="180"/>
      </w:pPr>
    </w:lvl>
  </w:abstractNum>
  <w:abstractNum w:abstractNumId="1"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3E103284"/>
    <w:multiLevelType w:val="hybridMultilevel"/>
    <w:tmpl w:val="731091D8"/>
    <w:lvl w:ilvl="0" w:tplc="23EC734C">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5C0CF71"/>
    <w:multiLevelType w:val="hybridMultilevel"/>
    <w:tmpl w:val="FF82C074"/>
    <w:lvl w:ilvl="0" w:tplc="C1E4D148">
      <w:start w:val="1"/>
      <w:numFmt w:val="bullet"/>
      <w:lvlText w:val=""/>
      <w:lvlJc w:val="left"/>
      <w:pPr>
        <w:ind w:left="720" w:hanging="360"/>
      </w:pPr>
      <w:rPr>
        <w:rFonts w:ascii="Symbol" w:hAnsi="Symbol" w:hint="default"/>
      </w:rPr>
    </w:lvl>
    <w:lvl w:ilvl="1" w:tplc="683C61BA">
      <w:start w:val="1"/>
      <w:numFmt w:val="bullet"/>
      <w:lvlText w:val="o"/>
      <w:lvlJc w:val="left"/>
      <w:pPr>
        <w:ind w:left="1440" w:hanging="360"/>
      </w:pPr>
      <w:rPr>
        <w:rFonts w:ascii="Courier New" w:hAnsi="Courier New" w:hint="default"/>
      </w:rPr>
    </w:lvl>
    <w:lvl w:ilvl="2" w:tplc="86D4DE2A">
      <w:start w:val="1"/>
      <w:numFmt w:val="bullet"/>
      <w:lvlText w:val=""/>
      <w:lvlJc w:val="left"/>
      <w:pPr>
        <w:ind w:left="2160" w:hanging="360"/>
      </w:pPr>
      <w:rPr>
        <w:rFonts w:ascii="Wingdings" w:hAnsi="Wingdings" w:hint="default"/>
      </w:rPr>
    </w:lvl>
    <w:lvl w:ilvl="3" w:tplc="A7D6333E">
      <w:start w:val="1"/>
      <w:numFmt w:val="bullet"/>
      <w:lvlText w:val=""/>
      <w:lvlJc w:val="left"/>
      <w:pPr>
        <w:ind w:left="2880" w:hanging="360"/>
      </w:pPr>
      <w:rPr>
        <w:rFonts w:ascii="Symbol" w:hAnsi="Symbol" w:hint="default"/>
      </w:rPr>
    </w:lvl>
    <w:lvl w:ilvl="4" w:tplc="4E50CDB0">
      <w:start w:val="1"/>
      <w:numFmt w:val="bullet"/>
      <w:lvlText w:val="o"/>
      <w:lvlJc w:val="left"/>
      <w:pPr>
        <w:ind w:left="3600" w:hanging="360"/>
      </w:pPr>
      <w:rPr>
        <w:rFonts w:ascii="Courier New" w:hAnsi="Courier New" w:hint="default"/>
      </w:rPr>
    </w:lvl>
    <w:lvl w:ilvl="5" w:tplc="668C8706">
      <w:start w:val="1"/>
      <w:numFmt w:val="bullet"/>
      <w:lvlText w:val=""/>
      <w:lvlJc w:val="left"/>
      <w:pPr>
        <w:ind w:left="4320" w:hanging="360"/>
      </w:pPr>
      <w:rPr>
        <w:rFonts w:ascii="Wingdings" w:hAnsi="Wingdings" w:hint="default"/>
      </w:rPr>
    </w:lvl>
    <w:lvl w:ilvl="6" w:tplc="604CA006">
      <w:start w:val="1"/>
      <w:numFmt w:val="bullet"/>
      <w:lvlText w:val=""/>
      <w:lvlJc w:val="left"/>
      <w:pPr>
        <w:ind w:left="5040" w:hanging="360"/>
      </w:pPr>
      <w:rPr>
        <w:rFonts w:ascii="Symbol" w:hAnsi="Symbol" w:hint="default"/>
      </w:rPr>
    </w:lvl>
    <w:lvl w:ilvl="7" w:tplc="7A94239A">
      <w:start w:val="1"/>
      <w:numFmt w:val="bullet"/>
      <w:lvlText w:val="o"/>
      <w:lvlJc w:val="left"/>
      <w:pPr>
        <w:ind w:left="5760" w:hanging="360"/>
      </w:pPr>
      <w:rPr>
        <w:rFonts w:ascii="Courier New" w:hAnsi="Courier New" w:hint="default"/>
      </w:rPr>
    </w:lvl>
    <w:lvl w:ilvl="8" w:tplc="0F101F96">
      <w:start w:val="1"/>
      <w:numFmt w:val="bullet"/>
      <w:lvlText w:val=""/>
      <w:lvlJc w:val="left"/>
      <w:pPr>
        <w:ind w:left="6480" w:hanging="360"/>
      </w:pPr>
      <w:rPr>
        <w:rFonts w:ascii="Wingdings" w:hAnsi="Wingdings" w:hint="default"/>
      </w:rPr>
    </w:lvl>
  </w:abstractNum>
  <w:abstractNum w:abstractNumId="10" w15:restartNumberingAfterBreak="0">
    <w:nsid w:val="5CFA3460"/>
    <w:multiLevelType w:val="hybridMultilevel"/>
    <w:tmpl w:val="06D8CF5E"/>
    <w:lvl w:ilvl="0" w:tplc="BE487A72">
      <w:start w:val="1"/>
      <w:numFmt w:val="bullet"/>
      <w:lvlText w:val=""/>
      <w:lvlJc w:val="left"/>
      <w:pPr>
        <w:ind w:left="720" w:hanging="360"/>
      </w:pPr>
      <w:rPr>
        <w:rFonts w:ascii="Symbol" w:hAnsi="Symbol" w:hint="default"/>
      </w:rPr>
    </w:lvl>
    <w:lvl w:ilvl="1" w:tplc="DA6ABCF4">
      <w:start w:val="1"/>
      <w:numFmt w:val="bullet"/>
      <w:lvlText w:val="o"/>
      <w:lvlJc w:val="left"/>
      <w:pPr>
        <w:ind w:left="1440" w:hanging="360"/>
      </w:pPr>
      <w:rPr>
        <w:rFonts w:ascii="Courier New" w:hAnsi="Courier New" w:hint="default"/>
      </w:rPr>
    </w:lvl>
    <w:lvl w:ilvl="2" w:tplc="4EBE32D8">
      <w:start w:val="1"/>
      <w:numFmt w:val="bullet"/>
      <w:lvlText w:val=""/>
      <w:lvlJc w:val="left"/>
      <w:pPr>
        <w:ind w:left="2160" w:hanging="360"/>
      </w:pPr>
      <w:rPr>
        <w:rFonts w:ascii="Wingdings" w:hAnsi="Wingdings" w:hint="default"/>
      </w:rPr>
    </w:lvl>
    <w:lvl w:ilvl="3" w:tplc="E0583592">
      <w:start w:val="1"/>
      <w:numFmt w:val="bullet"/>
      <w:lvlText w:val=""/>
      <w:lvlJc w:val="left"/>
      <w:pPr>
        <w:ind w:left="2880" w:hanging="360"/>
      </w:pPr>
      <w:rPr>
        <w:rFonts w:ascii="Symbol" w:hAnsi="Symbol" w:hint="default"/>
      </w:rPr>
    </w:lvl>
    <w:lvl w:ilvl="4" w:tplc="9B664692">
      <w:start w:val="1"/>
      <w:numFmt w:val="bullet"/>
      <w:lvlText w:val="o"/>
      <w:lvlJc w:val="left"/>
      <w:pPr>
        <w:ind w:left="3600" w:hanging="360"/>
      </w:pPr>
      <w:rPr>
        <w:rFonts w:ascii="Courier New" w:hAnsi="Courier New" w:hint="default"/>
      </w:rPr>
    </w:lvl>
    <w:lvl w:ilvl="5" w:tplc="C34E0FCC">
      <w:start w:val="1"/>
      <w:numFmt w:val="bullet"/>
      <w:lvlText w:val=""/>
      <w:lvlJc w:val="left"/>
      <w:pPr>
        <w:ind w:left="4320" w:hanging="360"/>
      </w:pPr>
      <w:rPr>
        <w:rFonts w:ascii="Wingdings" w:hAnsi="Wingdings" w:hint="default"/>
      </w:rPr>
    </w:lvl>
    <w:lvl w:ilvl="6" w:tplc="75EC72C4">
      <w:start w:val="1"/>
      <w:numFmt w:val="bullet"/>
      <w:lvlText w:val=""/>
      <w:lvlJc w:val="left"/>
      <w:pPr>
        <w:ind w:left="5040" w:hanging="360"/>
      </w:pPr>
      <w:rPr>
        <w:rFonts w:ascii="Symbol" w:hAnsi="Symbol" w:hint="default"/>
      </w:rPr>
    </w:lvl>
    <w:lvl w:ilvl="7" w:tplc="57248C1E">
      <w:start w:val="1"/>
      <w:numFmt w:val="bullet"/>
      <w:lvlText w:val="o"/>
      <w:lvlJc w:val="left"/>
      <w:pPr>
        <w:ind w:left="5760" w:hanging="360"/>
      </w:pPr>
      <w:rPr>
        <w:rFonts w:ascii="Courier New" w:hAnsi="Courier New" w:hint="default"/>
      </w:rPr>
    </w:lvl>
    <w:lvl w:ilvl="8" w:tplc="BC48C45E">
      <w:start w:val="1"/>
      <w:numFmt w:val="bullet"/>
      <w:lvlText w:val=""/>
      <w:lvlJc w:val="left"/>
      <w:pPr>
        <w:ind w:left="6480" w:hanging="360"/>
      </w:pPr>
      <w:rPr>
        <w:rFonts w:ascii="Wingdings" w:hAnsi="Wingdings" w:hint="default"/>
      </w:rPr>
    </w:lvl>
  </w:abstractNum>
  <w:num w:numId="1" w16cid:durableId="17011264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1702313">
    <w:abstractNumId w:val="3"/>
  </w:num>
  <w:num w:numId="3" w16cid:durableId="1849784807">
    <w:abstractNumId w:val="4"/>
  </w:num>
  <w:num w:numId="4" w16cid:durableId="1196701550">
    <w:abstractNumId w:val="8"/>
  </w:num>
  <w:num w:numId="5" w16cid:durableId="213196093">
    <w:abstractNumId w:val="7"/>
  </w:num>
  <w:num w:numId="6" w16cid:durableId="632950675">
    <w:abstractNumId w:val="5"/>
  </w:num>
  <w:num w:numId="7" w16cid:durableId="1476601304">
    <w:abstractNumId w:val="5"/>
  </w:num>
  <w:num w:numId="8" w16cid:durableId="635914267">
    <w:abstractNumId w:val="2"/>
  </w:num>
  <w:num w:numId="9" w16cid:durableId="632100347">
    <w:abstractNumId w:val="6"/>
  </w:num>
  <w:num w:numId="10" w16cid:durableId="19399942">
    <w:abstractNumId w:val="9"/>
  </w:num>
  <w:num w:numId="11" w16cid:durableId="1976333922">
    <w:abstractNumId w:val="0"/>
  </w:num>
  <w:num w:numId="12" w16cid:durableId="7369720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14412"/>
    <w:rsid w:val="00015358"/>
    <w:rsid w:val="0002205E"/>
    <w:rsid w:val="00051C02"/>
    <w:rsid w:val="00054111"/>
    <w:rsid w:val="000737F0"/>
    <w:rsid w:val="000E51C1"/>
    <w:rsid w:val="000F64E5"/>
    <w:rsid w:val="00104EA8"/>
    <w:rsid w:val="00120B08"/>
    <w:rsid w:val="001257E8"/>
    <w:rsid w:val="00150976"/>
    <w:rsid w:val="00152D69"/>
    <w:rsid w:val="00152FC1"/>
    <w:rsid w:val="00167680"/>
    <w:rsid w:val="00172847"/>
    <w:rsid w:val="00172E69"/>
    <w:rsid w:val="00194CC7"/>
    <w:rsid w:val="001A00FC"/>
    <w:rsid w:val="001A0B36"/>
    <w:rsid w:val="001C77D8"/>
    <w:rsid w:val="001D0AE0"/>
    <w:rsid w:val="002027E7"/>
    <w:rsid w:val="0021059A"/>
    <w:rsid w:val="00212580"/>
    <w:rsid w:val="00224CB5"/>
    <w:rsid w:val="002257DF"/>
    <w:rsid w:val="00242B00"/>
    <w:rsid w:val="00244D31"/>
    <w:rsid w:val="002473B6"/>
    <w:rsid w:val="00252C82"/>
    <w:rsid w:val="00254902"/>
    <w:rsid w:val="002762F4"/>
    <w:rsid w:val="00282225"/>
    <w:rsid w:val="002A6222"/>
    <w:rsid w:val="002B2FF2"/>
    <w:rsid w:val="002C388F"/>
    <w:rsid w:val="002C68B0"/>
    <w:rsid w:val="002D34E3"/>
    <w:rsid w:val="002E703F"/>
    <w:rsid w:val="0030267A"/>
    <w:rsid w:val="00307E33"/>
    <w:rsid w:val="00311C21"/>
    <w:rsid w:val="003123F4"/>
    <w:rsid w:val="003242E5"/>
    <w:rsid w:val="00331CE3"/>
    <w:rsid w:val="0033488D"/>
    <w:rsid w:val="003440B1"/>
    <w:rsid w:val="00350554"/>
    <w:rsid w:val="00361493"/>
    <w:rsid w:val="00361B1F"/>
    <w:rsid w:val="00372B8F"/>
    <w:rsid w:val="00377236"/>
    <w:rsid w:val="00397463"/>
    <w:rsid w:val="003E195A"/>
    <w:rsid w:val="003F0C2C"/>
    <w:rsid w:val="003F5E23"/>
    <w:rsid w:val="003F74A2"/>
    <w:rsid w:val="004031C7"/>
    <w:rsid w:val="004128E7"/>
    <w:rsid w:val="00417375"/>
    <w:rsid w:val="00431698"/>
    <w:rsid w:val="0043231A"/>
    <w:rsid w:val="00432CD6"/>
    <w:rsid w:val="00437A51"/>
    <w:rsid w:val="0045495E"/>
    <w:rsid w:val="004866CA"/>
    <w:rsid w:val="00490776"/>
    <w:rsid w:val="004A005D"/>
    <w:rsid w:val="004A628B"/>
    <w:rsid w:val="004C4EC3"/>
    <w:rsid w:val="004D557E"/>
    <w:rsid w:val="005254D3"/>
    <w:rsid w:val="00560331"/>
    <w:rsid w:val="0057123C"/>
    <w:rsid w:val="005728A3"/>
    <w:rsid w:val="005978E4"/>
    <w:rsid w:val="005E5B9C"/>
    <w:rsid w:val="005F6796"/>
    <w:rsid w:val="006042E8"/>
    <w:rsid w:val="0060674D"/>
    <w:rsid w:val="0061535C"/>
    <w:rsid w:val="0062534F"/>
    <w:rsid w:val="006335FE"/>
    <w:rsid w:val="0064315E"/>
    <w:rsid w:val="0065310F"/>
    <w:rsid w:val="0066270E"/>
    <w:rsid w:val="00680789"/>
    <w:rsid w:val="00686034"/>
    <w:rsid w:val="00694D84"/>
    <w:rsid w:val="006B6601"/>
    <w:rsid w:val="006D0BDB"/>
    <w:rsid w:val="006D3771"/>
    <w:rsid w:val="006D7333"/>
    <w:rsid w:val="006E1B72"/>
    <w:rsid w:val="006E3E7A"/>
    <w:rsid w:val="0070719F"/>
    <w:rsid w:val="007117A7"/>
    <w:rsid w:val="00734D8B"/>
    <w:rsid w:val="00742FA8"/>
    <w:rsid w:val="0075224B"/>
    <w:rsid w:val="007809F4"/>
    <w:rsid w:val="007959C1"/>
    <w:rsid w:val="007B3B82"/>
    <w:rsid w:val="007B7A6D"/>
    <w:rsid w:val="007C2537"/>
    <w:rsid w:val="007D198D"/>
    <w:rsid w:val="007D22D4"/>
    <w:rsid w:val="007E00A3"/>
    <w:rsid w:val="007E67B4"/>
    <w:rsid w:val="00806D6D"/>
    <w:rsid w:val="00842E7B"/>
    <w:rsid w:val="0085747E"/>
    <w:rsid w:val="00857FF1"/>
    <w:rsid w:val="00863A53"/>
    <w:rsid w:val="00885700"/>
    <w:rsid w:val="00887319"/>
    <w:rsid w:val="008B0CF5"/>
    <w:rsid w:val="008C32C2"/>
    <w:rsid w:val="008E26E3"/>
    <w:rsid w:val="008F06F6"/>
    <w:rsid w:val="008F5B72"/>
    <w:rsid w:val="00906B87"/>
    <w:rsid w:val="00921988"/>
    <w:rsid w:val="00923739"/>
    <w:rsid w:val="00925E2D"/>
    <w:rsid w:val="00953907"/>
    <w:rsid w:val="0096787E"/>
    <w:rsid w:val="009A274E"/>
    <w:rsid w:val="009D31EE"/>
    <w:rsid w:val="009D5FD8"/>
    <w:rsid w:val="009D68A7"/>
    <w:rsid w:val="009E0769"/>
    <w:rsid w:val="00A1558B"/>
    <w:rsid w:val="00A261DC"/>
    <w:rsid w:val="00A52988"/>
    <w:rsid w:val="00A54D19"/>
    <w:rsid w:val="00A6280B"/>
    <w:rsid w:val="00A75B23"/>
    <w:rsid w:val="00A96E0D"/>
    <w:rsid w:val="00AA1647"/>
    <w:rsid w:val="00AB0F64"/>
    <w:rsid w:val="00AB28A7"/>
    <w:rsid w:val="00AC792E"/>
    <w:rsid w:val="00AD324D"/>
    <w:rsid w:val="00AD3544"/>
    <w:rsid w:val="00B24112"/>
    <w:rsid w:val="00B35012"/>
    <w:rsid w:val="00B36582"/>
    <w:rsid w:val="00B62418"/>
    <w:rsid w:val="00B62841"/>
    <w:rsid w:val="00B74BD8"/>
    <w:rsid w:val="00B807B6"/>
    <w:rsid w:val="00BD26EA"/>
    <w:rsid w:val="00BD5B75"/>
    <w:rsid w:val="00BE5177"/>
    <w:rsid w:val="00BE6C89"/>
    <w:rsid w:val="00BF5595"/>
    <w:rsid w:val="00C14B58"/>
    <w:rsid w:val="00C21FAC"/>
    <w:rsid w:val="00C25C3D"/>
    <w:rsid w:val="00C3567A"/>
    <w:rsid w:val="00C45527"/>
    <w:rsid w:val="00C45B1A"/>
    <w:rsid w:val="00C75135"/>
    <w:rsid w:val="00C811B7"/>
    <w:rsid w:val="00C85101"/>
    <w:rsid w:val="00C86F4B"/>
    <w:rsid w:val="00CE3CF4"/>
    <w:rsid w:val="00CF1181"/>
    <w:rsid w:val="00CF1C6F"/>
    <w:rsid w:val="00D1225B"/>
    <w:rsid w:val="00D20872"/>
    <w:rsid w:val="00D37016"/>
    <w:rsid w:val="00D42103"/>
    <w:rsid w:val="00D67322"/>
    <w:rsid w:val="00D80498"/>
    <w:rsid w:val="00DA16B2"/>
    <w:rsid w:val="00DB1BD0"/>
    <w:rsid w:val="00DC7320"/>
    <w:rsid w:val="00DE7EA8"/>
    <w:rsid w:val="00DF7C08"/>
    <w:rsid w:val="00E05F42"/>
    <w:rsid w:val="00E13055"/>
    <w:rsid w:val="00E221FE"/>
    <w:rsid w:val="00E44275"/>
    <w:rsid w:val="00E44871"/>
    <w:rsid w:val="00E45AC5"/>
    <w:rsid w:val="00E67444"/>
    <w:rsid w:val="00E76323"/>
    <w:rsid w:val="00E860F8"/>
    <w:rsid w:val="00EB54D7"/>
    <w:rsid w:val="00EE3677"/>
    <w:rsid w:val="00EF5C8B"/>
    <w:rsid w:val="00F02F56"/>
    <w:rsid w:val="00F0560D"/>
    <w:rsid w:val="00F070DD"/>
    <w:rsid w:val="00F11FDF"/>
    <w:rsid w:val="00F15749"/>
    <w:rsid w:val="00F27445"/>
    <w:rsid w:val="00F3151D"/>
    <w:rsid w:val="00F54101"/>
    <w:rsid w:val="00F847EB"/>
    <w:rsid w:val="00F9289A"/>
    <w:rsid w:val="00FA4515"/>
    <w:rsid w:val="00FA480D"/>
    <w:rsid w:val="00FB2D7E"/>
    <w:rsid w:val="00FE6725"/>
    <w:rsid w:val="00FE7D8C"/>
    <w:rsid w:val="00FF127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2FC1"/>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docref">
    <w:name w:val="docref"/>
    <w:basedOn w:val="DefaultParagraphFont"/>
    <w:rsid w:val="00F9289A"/>
  </w:style>
  <w:style w:type="character" w:customStyle="1" w:styleId="gray">
    <w:name w:val="gray"/>
    <w:basedOn w:val="DefaultParagraphFont"/>
    <w:rsid w:val="00F9289A"/>
  </w:style>
  <w:style w:type="paragraph" w:customStyle="1" w:styleId="COEHI">
    <w:name w:val="COE_HI"/>
    <w:basedOn w:val="Normal"/>
    <w:qFormat/>
    <w:rsid w:val="0066270E"/>
    <w:pPr>
      <w:numPr>
        <w:numId w:val="6"/>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E44871"/>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E44871"/>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E44871"/>
    <w:rPr>
      <w:rFonts w:ascii="Calibri" w:eastAsiaTheme="minorHAnsi" w:hAnsi="Calibri" w:cs="Calibri"/>
      <w:sz w:val="22"/>
      <w:szCs w:val="22"/>
      <w:lang w:eastAsia="fr-FR"/>
    </w:rPr>
  </w:style>
  <w:style w:type="paragraph" w:customStyle="1" w:styleId="xxxxxmsonormal">
    <w:name w:val="x_x_x_x_xmsonormal"/>
    <w:basedOn w:val="Normal"/>
    <w:rsid w:val="007C2537"/>
    <w:pPr>
      <w:spacing w:before="100" w:beforeAutospacing="1" w:after="100" w:afterAutospacing="1"/>
    </w:pPr>
    <w:rPr>
      <w:rFonts w:ascii="Calibri" w:eastAsiaTheme="minorHAnsi" w:hAnsi="Calibri" w:cs="Calibri"/>
      <w:sz w:val="22"/>
      <w:szCs w:val="22"/>
      <w:lang w:eastAsia="fr-FR"/>
    </w:rPr>
  </w:style>
  <w:style w:type="paragraph" w:customStyle="1" w:styleId="coesource">
    <w:name w:val="coesource"/>
    <w:basedOn w:val="Normal"/>
    <w:rsid w:val="00224CB5"/>
    <w:pPr>
      <w:spacing w:before="100" w:beforeAutospacing="1" w:after="100" w:afterAutospacing="1"/>
    </w:pPr>
    <w:rPr>
      <w:rFonts w:ascii="Times New Roman" w:eastAsia="Times New Roman" w:hAnsi="Times New Roman" w:cs="Times New Roman"/>
      <w:sz w:val="24"/>
      <w:szCs w:val="24"/>
      <w:lang w:eastAsia="fr-FR"/>
    </w:rPr>
  </w:style>
  <w:style w:type="character" w:customStyle="1" w:styleId="s682a13c7">
    <w:name w:val="s682a13c7"/>
    <w:basedOn w:val="DefaultParagraphFont"/>
    <w:rsid w:val="003F5E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45273">
      <w:bodyDiv w:val="1"/>
      <w:marLeft w:val="0"/>
      <w:marRight w:val="0"/>
      <w:marTop w:val="0"/>
      <w:marBottom w:val="0"/>
      <w:divBdr>
        <w:top w:val="none" w:sz="0" w:space="0" w:color="auto"/>
        <w:left w:val="none" w:sz="0" w:space="0" w:color="auto"/>
        <w:bottom w:val="none" w:sz="0" w:space="0" w:color="auto"/>
        <w:right w:val="none" w:sz="0" w:space="0" w:color="auto"/>
      </w:divBdr>
    </w:div>
    <w:div w:id="115416738">
      <w:bodyDiv w:val="1"/>
      <w:marLeft w:val="0"/>
      <w:marRight w:val="0"/>
      <w:marTop w:val="0"/>
      <w:marBottom w:val="0"/>
      <w:divBdr>
        <w:top w:val="none" w:sz="0" w:space="0" w:color="auto"/>
        <w:left w:val="none" w:sz="0" w:space="0" w:color="auto"/>
        <w:bottom w:val="none" w:sz="0" w:space="0" w:color="auto"/>
        <w:right w:val="none" w:sz="0" w:space="0" w:color="auto"/>
      </w:divBdr>
    </w:div>
    <w:div w:id="139075916">
      <w:bodyDiv w:val="1"/>
      <w:marLeft w:val="0"/>
      <w:marRight w:val="0"/>
      <w:marTop w:val="0"/>
      <w:marBottom w:val="0"/>
      <w:divBdr>
        <w:top w:val="none" w:sz="0" w:space="0" w:color="auto"/>
        <w:left w:val="none" w:sz="0" w:space="0" w:color="auto"/>
        <w:bottom w:val="none" w:sz="0" w:space="0" w:color="auto"/>
        <w:right w:val="none" w:sz="0" w:space="0" w:color="auto"/>
      </w:divBdr>
    </w:div>
    <w:div w:id="210920621">
      <w:bodyDiv w:val="1"/>
      <w:marLeft w:val="0"/>
      <w:marRight w:val="0"/>
      <w:marTop w:val="0"/>
      <w:marBottom w:val="0"/>
      <w:divBdr>
        <w:top w:val="none" w:sz="0" w:space="0" w:color="auto"/>
        <w:left w:val="none" w:sz="0" w:space="0" w:color="auto"/>
        <w:bottom w:val="none" w:sz="0" w:space="0" w:color="auto"/>
        <w:right w:val="none" w:sz="0" w:space="0" w:color="auto"/>
      </w:divBdr>
    </w:div>
    <w:div w:id="250357001">
      <w:bodyDiv w:val="1"/>
      <w:marLeft w:val="0"/>
      <w:marRight w:val="0"/>
      <w:marTop w:val="0"/>
      <w:marBottom w:val="0"/>
      <w:divBdr>
        <w:top w:val="none" w:sz="0" w:space="0" w:color="auto"/>
        <w:left w:val="none" w:sz="0" w:space="0" w:color="auto"/>
        <w:bottom w:val="none" w:sz="0" w:space="0" w:color="auto"/>
        <w:right w:val="none" w:sz="0" w:space="0" w:color="auto"/>
      </w:divBdr>
    </w:div>
    <w:div w:id="386270383">
      <w:bodyDiv w:val="1"/>
      <w:marLeft w:val="0"/>
      <w:marRight w:val="0"/>
      <w:marTop w:val="0"/>
      <w:marBottom w:val="0"/>
      <w:divBdr>
        <w:top w:val="none" w:sz="0" w:space="0" w:color="auto"/>
        <w:left w:val="none" w:sz="0" w:space="0" w:color="auto"/>
        <w:bottom w:val="none" w:sz="0" w:space="0" w:color="auto"/>
        <w:right w:val="none" w:sz="0" w:space="0" w:color="auto"/>
      </w:divBdr>
    </w:div>
    <w:div w:id="402722948">
      <w:bodyDiv w:val="1"/>
      <w:marLeft w:val="0"/>
      <w:marRight w:val="0"/>
      <w:marTop w:val="0"/>
      <w:marBottom w:val="0"/>
      <w:divBdr>
        <w:top w:val="none" w:sz="0" w:space="0" w:color="auto"/>
        <w:left w:val="none" w:sz="0" w:space="0" w:color="auto"/>
        <w:bottom w:val="none" w:sz="0" w:space="0" w:color="auto"/>
        <w:right w:val="none" w:sz="0" w:space="0" w:color="auto"/>
      </w:divBdr>
    </w:div>
    <w:div w:id="598637080">
      <w:bodyDiv w:val="1"/>
      <w:marLeft w:val="0"/>
      <w:marRight w:val="0"/>
      <w:marTop w:val="0"/>
      <w:marBottom w:val="0"/>
      <w:divBdr>
        <w:top w:val="none" w:sz="0" w:space="0" w:color="auto"/>
        <w:left w:val="none" w:sz="0" w:space="0" w:color="auto"/>
        <w:bottom w:val="none" w:sz="0" w:space="0" w:color="auto"/>
        <w:right w:val="none" w:sz="0" w:space="0" w:color="auto"/>
      </w:divBdr>
    </w:div>
    <w:div w:id="669600000">
      <w:bodyDiv w:val="1"/>
      <w:marLeft w:val="0"/>
      <w:marRight w:val="0"/>
      <w:marTop w:val="0"/>
      <w:marBottom w:val="0"/>
      <w:divBdr>
        <w:top w:val="none" w:sz="0" w:space="0" w:color="auto"/>
        <w:left w:val="none" w:sz="0" w:space="0" w:color="auto"/>
        <w:bottom w:val="none" w:sz="0" w:space="0" w:color="auto"/>
        <w:right w:val="none" w:sz="0" w:space="0" w:color="auto"/>
      </w:divBdr>
    </w:div>
    <w:div w:id="723984901">
      <w:bodyDiv w:val="1"/>
      <w:marLeft w:val="0"/>
      <w:marRight w:val="0"/>
      <w:marTop w:val="0"/>
      <w:marBottom w:val="0"/>
      <w:divBdr>
        <w:top w:val="none" w:sz="0" w:space="0" w:color="auto"/>
        <w:left w:val="none" w:sz="0" w:space="0" w:color="auto"/>
        <w:bottom w:val="none" w:sz="0" w:space="0" w:color="auto"/>
        <w:right w:val="none" w:sz="0" w:space="0" w:color="auto"/>
      </w:divBdr>
    </w:div>
    <w:div w:id="749698998">
      <w:bodyDiv w:val="1"/>
      <w:marLeft w:val="0"/>
      <w:marRight w:val="0"/>
      <w:marTop w:val="0"/>
      <w:marBottom w:val="0"/>
      <w:divBdr>
        <w:top w:val="none" w:sz="0" w:space="0" w:color="auto"/>
        <w:left w:val="none" w:sz="0" w:space="0" w:color="auto"/>
        <w:bottom w:val="none" w:sz="0" w:space="0" w:color="auto"/>
        <w:right w:val="none" w:sz="0" w:space="0" w:color="auto"/>
      </w:divBdr>
    </w:div>
    <w:div w:id="763498562">
      <w:bodyDiv w:val="1"/>
      <w:marLeft w:val="0"/>
      <w:marRight w:val="0"/>
      <w:marTop w:val="0"/>
      <w:marBottom w:val="0"/>
      <w:divBdr>
        <w:top w:val="none" w:sz="0" w:space="0" w:color="auto"/>
        <w:left w:val="none" w:sz="0" w:space="0" w:color="auto"/>
        <w:bottom w:val="none" w:sz="0" w:space="0" w:color="auto"/>
        <w:right w:val="none" w:sz="0" w:space="0" w:color="auto"/>
      </w:divBdr>
    </w:div>
    <w:div w:id="884755190">
      <w:bodyDiv w:val="1"/>
      <w:marLeft w:val="0"/>
      <w:marRight w:val="0"/>
      <w:marTop w:val="0"/>
      <w:marBottom w:val="0"/>
      <w:divBdr>
        <w:top w:val="none" w:sz="0" w:space="0" w:color="auto"/>
        <w:left w:val="none" w:sz="0" w:space="0" w:color="auto"/>
        <w:bottom w:val="none" w:sz="0" w:space="0" w:color="auto"/>
        <w:right w:val="none" w:sz="0" w:space="0" w:color="auto"/>
      </w:divBdr>
    </w:div>
    <w:div w:id="931358177">
      <w:bodyDiv w:val="1"/>
      <w:marLeft w:val="0"/>
      <w:marRight w:val="0"/>
      <w:marTop w:val="0"/>
      <w:marBottom w:val="0"/>
      <w:divBdr>
        <w:top w:val="none" w:sz="0" w:space="0" w:color="auto"/>
        <w:left w:val="none" w:sz="0" w:space="0" w:color="auto"/>
        <w:bottom w:val="none" w:sz="0" w:space="0" w:color="auto"/>
        <w:right w:val="none" w:sz="0" w:space="0" w:color="auto"/>
      </w:divBdr>
    </w:div>
    <w:div w:id="1114788936">
      <w:bodyDiv w:val="1"/>
      <w:marLeft w:val="0"/>
      <w:marRight w:val="0"/>
      <w:marTop w:val="0"/>
      <w:marBottom w:val="0"/>
      <w:divBdr>
        <w:top w:val="none" w:sz="0" w:space="0" w:color="auto"/>
        <w:left w:val="none" w:sz="0" w:space="0" w:color="auto"/>
        <w:bottom w:val="none" w:sz="0" w:space="0" w:color="auto"/>
        <w:right w:val="none" w:sz="0" w:space="0" w:color="auto"/>
      </w:divBdr>
    </w:div>
    <w:div w:id="1149247129">
      <w:bodyDiv w:val="1"/>
      <w:marLeft w:val="0"/>
      <w:marRight w:val="0"/>
      <w:marTop w:val="0"/>
      <w:marBottom w:val="0"/>
      <w:divBdr>
        <w:top w:val="none" w:sz="0" w:space="0" w:color="auto"/>
        <w:left w:val="none" w:sz="0" w:space="0" w:color="auto"/>
        <w:bottom w:val="none" w:sz="0" w:space="0" w:color="auto"/>
        <w:right w:val="none" w:sz="0" w:space="0" w:color="auto"/>
      </w:divBdr>
    </w:div>
    <w:div w:id="1201865791">
      <w:bodyDiv w:val="1"/>
      <w:marLeft w:val="0"/>
      <w:marRight w:val="0"/>
      <w:marTop w:val="0"/>
      <w:marBottom w:val="0"/>
      <w:divBdr>
        <w:top w:val="none" w:sz="0" w:space="0" w:color="auto"/>
        <w:left w:val="none" w:sz="0" w:space="0" w:color="auto"/>
        <w:bottom w:val="none" w:sz="0" w:space="0" w:color="auto"/>
        <w:right w:val="none" w:sz="0" w:space="0" w:color="auto"/>
      </w:divBdr>
    </w:div>
    <w:div w:id="1324119301">
      <w:bodyDiv w:val="1"/>
      <w:marLeft w:val="0"/>
      <w:marRight w:val="0"/>
      <w:marTop w:val="0"/>
      <w:marBottom w:val="0"/>
      <w:divBdr>
        <w:top w:val="none" w:sz="0" w:space="0" w:color="auto"/>
        <w:left w:val="none" w:sz="0" w:space="0" w:color="auto"/>
        <w:bottom w:val="none" w:sz="0" w:space="0" w:color="auto"/>
        <w:right w:val="none" w:sz="0" w:space="0" w:color="auto"/>
      </w:divBdr>
    </w:div>
    <w:div w:id="1325012064">
      <w:bodyDiv w:val="1"/>
      <w:marLeft w:val="0"/>
      <w:marRight w:val="0"/>
      <w:marTop w:val="0"/>
      <w:marBottom w:val="0"/>
      <w:divBdr>
        <w:top w:val="none" w:sz="0" w:space="0" w:color="auto"/>
        <w:left w:val="none" w:sz="0" w:space="0" w:color="auto"/>
        <w:bottom w:val="none" w:sz="0" w:space="0" w:color="auto"/>
        <w:right w:val="none" w:sz="0" w:space="0" w:color="auto"/>
      </w:divBdr>
    </w:div>
    <w:div w:id="1635133788">
      <w:bodyDiv w:val="1"/>
      <w:marLeft w:val="0"/>
      <w:marRight w:val="0"/>
      <w:marTop w:val="0"/>
      <w:marBottom w:val="0"/>
      <w:divBdr>
        <w:top w:val="none" w:sz="0" w:space="0" w:color="auto"/>
        <w:left w:val="none" w:sz="0" w:space="0" w:color="auto"/>
        <w:bottom w:val="none" w:sz="0" w:space="0" w:color="auto"/>
        <w:right w:val="none" w:sz="0" w:space="0" w:color="auto"/>
      </w:divBdr>
    </w:div>
    <w:div w:id="1662804550">
      <w:bodyDiv w:val="1"/>
      <w:marLeft w:val="0"/>
      <w:marRight w:val="0"/>
      <w:marTop w:val="0"/>
      <w:marBottom w:val="0"/>
      <w:divBdr>
        <w:top w:val="none" w:sz="0" w:space="0" w:color="auto"/>
        <w:left w:val="none" w:sz="0" w:space="0" w:color="auto"/>
        <w:bottom w:val="none" w:sz="0" w:space="0" w:color="auto"/>
        <w:right w:val="none" w:sz="0" w:space="0" w:color="auto"/>
      </w:divBdr>
    </w:div>
    <w:div w:id="1688827551">
      <w:bodyDiv w:val="1"/>
      <w:marLeft w:val="0"/>
      <w:marRight w:val="0"/>
      <w:marTop w:val="0"/>
      <w:marBottom w:val="0"/>
      <w:divBdr>
        <w:top w:val="none" w:sz="0" w:space="0" w:color="auto"/>
        <w:left w:val="none" w:sz="0" w:space="0" w:color="auto"/>
        <w:bottom w:val="none" w:sz="0" w:space="0" w:color="auto"/>
        <w:right w:val="none" w:sz="0" w:space="0" w:color="auto"/>
      </w:divBdr>
    </w:div>
    <w:div w:id="1734934984">
      <w:bodyDiv w:val="1"/>
      <w:marLeft w:val="0"/>
      <w:marRight w:val="0"/>
      <w:marTop w:val="0"/>
      <w:marBottom w:val="0"/>
      <w:divBdr>
        <w:top w:val="none" w:sz="0" w:space="0" w:color="auto"/>
        <w:left w:val="none" w:sz="0" w:space="0" w:color="auto"/>
        <w:bottom w:val="none" w:sz="0" w:space="0" w:color="auto"/>
        <w:right w:val="none" w:sz="0" w:space="0" w:color="auto"/>
      </w:divBdr>
    </w:div>
    <w:div w:id="1749887596">
      <w:bodyDiv w:val="1"/>
      <w:marLeft w:val="0"/>
      <w:marRight w:val="0"/>
      <w:marTop w:val="0"/>
      <w:marBottom w:val="0"/>
      <w:divBdr>
        <w:top w:val="none" w:sz="0" w:space="0" w:color="auto"/>
        <w:left w:val="none" w:sz="0" w:space="0" w:color="auto"/>
        <w:bottom w:val="none" w:sz="0" w:space="0" w:color="auto"/>
        <w:right w:val="none" w:sz="0" w:space="0" w:color="auto"/>
      </w:divBdr>
    </w:div>
    <w:div w:id="1775975023">
      <w:bodyDiv w:val="1"/>
      <w:marLeft w:val="0"/>
      <w:marRight w:val="0"/>
      <w:marTop w:val="0"/>
      <w:marBottom w:val="0"/>
      <w:divBdr>
        <w:top w:val="none" w:sz="0" w:space="0" w:color="auto"/>
        <w:left w:val="none" w:sz="0" w:space="0" w:color="auto"/>
        <w:bottom w:val="none" w:sz="0" w:space="0" w:color="auto"/>
        <w:right w:val="none" w:sz="0" w:space="0" w:color="auto"/>
      </w:divBdr>
    </w:div>
    <w:div w:id="1805272402">
      <w:bodyDiv w:val="1"/>
      <w:marLeft w:val="0"/>
      <w:marRight w:val="0"/>
      <w:marTop w:val="0"/>
      <w:marBottom w:val="0"/>
      <w:divBdr>
        <w:top w:val="none" w:sz="0" w:space="0" w:color="auto"/>
        <w:left w:val="none" w:sz="0" w:space="0" w:color="auto"/>
        <w:bottom w:val="none" w:sz="0" w:space="0" w:color="auto"/>
        <w:right w:val="none" w:sz="0" w:space="0" w:color="auto"/>
      </w:divBdr>
    </w:div>
    <w:div w:id="1820269186">
      <w:bodyDiv w:val="1"/>
      <w:marLeft w:val="0"/>
      <w:marRight w:val="0"/>
      <w:marTop w:val="0"/>
      <w:marBottom w:val="0"/>
      <w:divBdr>
        <w:top w:val="none" w:sz="0" w:space="0" w:color="auto"/>
        <w:left w:val="none" w:sz="0" w:space="0" w:color="auto"/>
        <w:bottom w:val="none" w:sz="0" w:space="0" w:color="auto"/>
        <w:right w:val="none" w:sz="0" w:space="0" w:color="auto"/>
      </w:divBdr>
    </w:div>
    <w:div w:id="1944608027">
      <w:bodyDiv w:val="1"/>
      <w:marLeft w:val="0"/>
      <w:marRight w:val="0"/>
      <w:marTop w:val="0"/>
      <w:marBottom w:val="0"/>
      <w:divBdr>
        <w:top w:val="none" w:sz="0" w:space="0" w:color="auto"/>
        <w:left w:val="none" w:sz="0" w:space="0" w:color="auto"/>
        <w:bottom w:val="none" w:sz="0" w:space="0" w:color="auto"/>
        <w:right w:val="none" w:sz="0" w:space="0" w:color="auto"/>
      </w:divBdr>
    </w:div>
    <w:div w:id="1971354611">
      <w:bodyDiv w:val="1"/>
      <w:marLeft w:val="0"/>
      <w:marRight w:val="0"/>
      <w:marTop w:val="0"/>
      <w:marBottom w:val="0"/>
      <w:divBdr>
        <w:top w:val="none" w:sz="0" w:space="0" w:color="auto"/>
        <w:left w:val="none" w:sz="0" w:space="0" w:color="auto"/>
        <w:bottom w:val="none" w:sz="0" w:space="0" w:color="auto"/>
        <w:right w:val="none" w:sz="0" w:space="0" w:color="auto"/>
      </w:divBdr>
    </w:div>
    <w:div w:id="2056931310">
      <w:bodyDiv w:val="1"/>
      <w:marLeft w:val="0"/>
      <w:marRight w:val="0"/>
      <w:marTop w:val="0"/>
      <w:marBottom w:val="0"/>
      <w:divBdr>
        <w:top w:val="none" w:sz="0" w:space="0" w:color="auto"/>
        <w:left w:val="none" w:sz="0" w:space="0" w:color="auto"/>
        <w:bottom w:val="none" w:sz="0" w:space="0" w:color="auto"/>
        <w:right w:val="none" w:sz="0" w:space="0" w:color="auto"/>
      </w:divBdr>
    </w:div>
    <w:div w:id="2079013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hudoc.exec.coe.int/FRE" TargetMode="External"/><Relationship Id="rId18" Type="http://schemas.openxmlformats.org/officeDocument/2006/relationships/hyperlink" Target="https://venice.coe.int/webforms/documents/?pdf=CDL-AD(2023)024-e"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pace.coe.int/en/files/33193" TargetMode="External"/><Relationship Id="rId7" Type="http://schemas.openxmlformats.org/officeDocument/2006/relationships/endnotes" Target="endnotes.xml"/><Relationship Id="rId12" Type="http://schemas.openxmlformats.org/officeDocument/2006/relationships/hyperlink" Target="https://hudoc.exec.coe.int/ENG" TargetMode="External"/><Relationship Id="rId17" Type="http://schemas.openxmlformats.org/officeDocument/2006/relationships/hyperlink" Target="https://venice.coe.int/webforms/documents/?pdf=CDL-AD(2023)024-e"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venice.coe.int/webforms/documents/?pdf=CDL-AD(2023)015-e" TargetMode="External"/><Relationship Id="rId20" Type="http://schemas.openxmlformats.org/officeDocument/2006/relationships/hyperlink" Target="https://pace.coe.int/en/files/3307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e.int/en/web/execution/france" TargetMode="External"/><Relationship Id="rId24" Type="http://schemas.openxmlformats.org/officeDocument/2006/relationships/hyperlink" Target="https://hudoc.echr.coe.int/" TargetMode="External"/><Relationship Id="rId5" Type="http://schemas.openxmlformats.org/officeDocument/2006/relationships/webSettings" Target="webSettings.xml"/><Relationship Id="rId15" Type="http://schemas.openxmlformats.org/officeDocument/2006/relationships/hyperlink" Target="https://venice.coe.int/webforms/documents/?pdf=CDL-AD(2023)015-e" TargetMode="External"/><Relationship Id="rId23" Type="http://schemas.openxmlformats.org/officeDocument/2006/relationships/hyperlink" Target="https://hudoc.echr.coe.int/?i=001-224928" TargetMode="External"/><Relationship Id="rId28" Type="http://schemas.openxmlformats.org/officeDocument/2006/relationships/theme" Target="theme/theme1.xml"/><Relationship Id="rId10" Type="http://schemas.openxmlformats.org/officeDocument/2006/relationships/hyperlink" Target="mailto:christel.schurrer@coe.int" TargetMode="External"/><Relationship Id="rId19" Type="http://schemas.openxmlformats.org/officeDocument/2006/relationships/hyperlink" Target="https://pace.coe.int/en/files/33016" TargetMode="External"/><Relationship Id="rId4" Type="http://schemas.openxmlformats.org/officeDocument/2006/relationships/settings" Target="settings.xml"/><Relationship Id="rId9" Type="http://schemas.openxmlformats.org/officeDocument/2006/relationships/hyperlink" Target="https://rm.coe.int/france-2021-data-/1680ab89b7" TargetMode="External"/><Relationship Id="rId14" Type="http://schemas.openxmlformats.org/officeDocument/2006/relationships/hyperlink" Target="https://search.coe.int/cm/Pages/result_details.aspx?ObjectId=0900001680ac8c64" TargetMode="External"/><Relationship Id="rId22" Type="http://schemas.openxmlformats.org/officeDocument/2006/relationships/hyperlink" Target="https://pace.coe.int/en/files/33078"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30A36-61C5-4172-AB26-95D7548FB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1017</Words>
  <Characters>5597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14</cp:revision>
  <dcterms:created xsi:type="dcterms:W3CDTF">2023-12-26T06:34:00Z</dcterms:created>
  <dcterms:modified xsi:type="dcterms:W3CDTF">2024-01-12T08:58:00Z</dcterms:modified>
</cp:coreProperties>
</file>